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E862" w14:textId="77777777" w:rsidR="009E4159" w:rsidRPr="00553D80" w:rsidRDefault="009E4159">
      <w:pPr>
        <w:pStyle w:val="Protfin"/>
        <w:pageBreakBefore w:val="0"/>
        <w:tabs>
          <w:tab w:val="center" w:leader="dot" w:pos="9078"/>
          <w:tab w:val="right" w:pos="9730"/>
        </w:tabs>
        <w:spacing w:before="240" w:after="80"/>
        <w:rPr>
          <w:lang w:val="en-GB"/>
        </w:rPr>
      </w:pPr>
      <w:r w:rsidRPr="00553D80">
        <w:rPr>
          <w:lang w:val="en-GB"/>
        </w:rPr>
        <w:t>VOLUME  4</w:t>
      </w:r>
    </w:p>
    <w:p w14:paraId="7B2FCCA4" w14:textId="77777777" w:rsidR="009E4159" w:rsidRPr="00553D80" w:rsidRDefault="009E4159">
      <w:pPr>
        <w:tabs>
          <w:tab w:val="center" w:leader="dot" w:pos="9078"/>
          <w:tab w:val="right" w:pos="9730"/>
        </w:tabs>
        <w:jc w:val="center"/>
        <w:rPr>
          <w:lang w:val="en-GB"/>
        </w:rPr>
      </w:pPr>
      <w:r w:rsidRPr="00553D80">
        <w:rPr>
          <w:b/>
          <w:lang w:val="en-GB"/>
        </w:rPr>
        <w:t>ITU-</w:t>
      </w:r>
      <w:proofErr w:type="gramStart"/>
      <w:r w:rsidRPr="00553D80">
        <w:rPr>
          <w:b/>
          <w:lang w:val="en-GB"/>
        </w:rPr>
        <w:t>R</w:t>
      </w:r>
      <w:r w:rsidRPr="00553D80">
        <w:rPr>
          <w:b/>
          <w:sz w:val="12"/>
          <w:lang w:val="en-GB"/>
        </w:rPr>
        <w:t xml:space="preserve"> </w:t>
      </w:r>
      <w:r w:rsidRPr="00553D80">
        <w:rPr>
          <w:b/>
          <w:lang w:val="en-GB"/>
        </w:rPr>
        <w:t xml:space="preserve"> Recommendati</w:t>
      </w:r>
      <w:r w:rsidR="00421971" w:rsidRPr="00553D80">
        <w:rPr>
          <w:b/>
          <w:lang w:val="en-GB"/>
        </w:rPr>
        <w:t>o</w:t>
      </w:r>
      <w:r w:rsidRPr="00553D80">
        <w:rPr>
          <w:b/>
          <w:lang w:val="en-GB"/>
        </w:rPr>
        <w:t>ns</w:t>
      </w:r>
      <w:proofErr w:type="gramEnd"/>
      <w:r w:rsidRPr="00553D80">
        <w:rPr>
          <w:b/>
          <w:lang w:val="en-GB"/>
        </w:rPr>
        <w:t xml:space="preserve"> incorporated by reference</w:t>
      </w:r>
      <w:r w:rsidRPr="00553D80">
        <w:rPr>
          <w:rStyle w:val="FootnoteReference"/>
          <w:b/>
          <w:lang w:val="en-GB"/>
        </w:rPr>
        <w:footnoteReference w:customMarkFollows="1" w:id="1"/>
        <w:t>*</w:t>
      </w:r>
    </w:p>
    <w:p w14:paraId="73CAB5FF" w14:textId="77777777" w:rsidR="009E4159" w:rsidRPr="00553D80" w:rsidRDefault="009E4159">
      <w:pPr>
        <w:tabs>
          <w:tab w:val="center" w:leader="dot" w:pos="9078"/>
          <w:tab w:val="right" w:pos="9730"/>
        </w:tabs>
        <w:spacing w:before="1200"/>
        <w:jc w:val="center"/>
        <w:rPr>
          <w:lang w:val="en-GB"/>
        </w:rPr>
      </w:pPr>
      <w:proofErr w:type="gramStart"/>
      <w:r w:rsidRPr="00553D80">
        <w:rPr>
          <w:lang w:val="en-GB"/>
        </w:rPr>
        <w:t>TABLE  OF</w:t>
      </w:r>
      <w:proofErr w:type="gramEnd"/>
      <w:r w:rsidRPr="00553D80">
        <w:rPr>
          <w:lang w:val="en-GB"/>
        </w:rPr>
        <w:t xml:space="preserve">  CONTENTS</w:t>
      </w:r>
    </w:p>
    <w:p w14:paraId="42B4F2BE" w14:textId="77777777" w:rsidR="009E4159" w:rsidRPr="007F6100" w:rsidRDefault="009E4159" w:rsidP="00421971">
      <w:pPr>
        <w:tabs>
          <w:tab w:val="center" w:leader="dot" w:pos="9078"/>
          <w:tab w:val="right" w:pos="9781"/>
        </w:tabs>
        <w:ind w:right="-425"/>
        <w:jc w:val="right"/>
        <w:rPr>
          <w:i/>
          <w:iCs/>
          <w:noProof/>
          <w:sz w:val="20"/>
          <w:lang w:val="en-GB"/>
        </w:rPr>
      </w:pPr>
      <w:r w:rsidRPr="007F6100">
        <w:rPr>
          <w:i/>
          <w:iCs/>
          <w:sz w:val="20"/>
          <w:lang w:val="en-GB"/>
        </w:rPr>
        <w:t>Page</w:t>
      </w:r>
    </w:p>
    <w:p w14:paraId="32D14DA6" w14:textId="77777777" w:rsidR="009E4159" w:rsidRPr="00553D80" w:rsidRDefault="009E4159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TF.460-6</w:t>
      </w:r>
      <w:r w:rsidRPr="00553D80">
        <w:rPr>
          <w:b w:val="0"/>
          <w:noProof/>
          <w:sz w:val="20"/>
          <w:lang w:val="en-GB"/>
        </w:rPr>
        <w:tab/>
        <w:t>Standard</w:t>
      </w:r>
      <w:r w:rsidR="00C567B4">
        <w:rPr>
          <w:b w:val="0"/>
          <w:noProof/>
          <w:sz w:val="20"/>
          <w:lang w:val="en-GB"/>
        </w:rPr>
        <w:t>-</w:t>
      </w:r>
      <w:r w:rsidRPr="00553D80">
        <w:rPr>
          <w:b w:val="0"/>
          <w:noProof/>
          <w:sz w:val="20"/>
          <w:lang w:val="en-GB"/>
        </w:rPr>
        <w:t>frequency and time-signal emissions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04F04" w:rsidRPr="00553D80">
        <w:rPr>
          <w:b w:val="0"/>
          <w:noProof/>
          <w:sz w:val="20"/>
          <w:lang w:val="en-GB"/>
        </w:rPr>
        <w:t>1</w:t>
      </w:r>
    </w:p>
    <w:p w14:paraId="6D8C26E6" w14:textId="76811A41" w:rsidR="009E4159" w:rsidRPr="00553D80" w:rsidRDefault="009E4159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M.489-2</w:t>
      </w:r>
      <w:r w:rsidRPr="00553D80">
        <w:rPr>
          <w:b w:val="0"/>
          <w:noProof/>
          <w:sz w:val="20"/>
          <w:lang w:val="en-GB"/>
        </w:rPr>
        <w:tab/>
        <w:t>Technical characteristics of VHF radiotelephone equipment operating in the maritime mobile service in channels spaced by 25 kHz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7</w:t>
      </w:r>
    </w:p>
    <w:p w14:paraId="34BD4156" w14:textId="1442D44B" w:rsidR="009E4159" w:rsidRPr="00553D80" w:rsidRDefault="009E4159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M.492-6</w:t>
      </w:r>
      <w:r w:rsidRPr="00553D80">
        <w:rPr>
          <w:b w:val="0"/>
          <w:noProof/>
          <w:sz w:val="20"/>
          <w:lang w:val="en-GB"/>
        </w:rPr>
        <w:tab/>
        <w:t>Operational procedures for the use of direct-printing telegraph equipment in the maritime mobile service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9</w:t>
      </w:r>
    </w:p>
    <w:p w14:paraId="5B805CC7" w14:textId="540A0BBE" w:rsidR="00D04F04" w:rsidRPr="00553D80" w:rsidRDefault="00D04F04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P.525-</w:t>
      </w:r>
      <w:r w:rsidR="001F6B9D">
        <w:rPr>
          <w:b w:val="0"/>
          <w:noProof/>
          <w:sz w:val="20"/>
          <w:lang w:val="en-GB"/>
        </w:rPr>
        <w:t>4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sz w:val="20"/>
          <w:lang w:val="en-GB"/>
        </w:rPr>
        <w:t>Calculation of free-space attenuation</w:t>
      </w:r>
      <w:r w:rsidRPr="00553D80">
        <w:rPr>
          <w:b w:val="0"/>
          <w:sz w:val="20"/>
          <w:lang w:val="en-GB"/>
        </w:rPr>
        <w:tab/>
      </w:r>
      <w:r w:rsidRPr="00553D80">
        <w:rPr>
          <w:b w:val="0"/>
          <w:sz w:val="20"/>
          <w:lang w:val="en-GB"/>
        </w:rPr>
        <w:tab/>
      </w:r>
      <w:r w:rsidR="00795AF8">
        <w:rPr>
          <w:b w:val="0"/>
          <w:sz w:val="20"/>
          <w:lang w:val="en-GB"/>
        </w:rPr>
        <w:t>19</w:t>
      </w:r>
    </w:p>
    <w:p w14:paraId="667424A5" w14:textId="0055EE67" w:rsidR="00AA20A5" w:rsidRPr="00BE7D17" w:rsidRDefault="00AA20A5" w:rsidP="00AA20A5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US"/>
        </w:rPr>
      </w:pPr>
      <w:r w:rsidRPr="00BE7D17">
        <w:rPr>
          <w:b w:val="0"/>
          <w:noProof/>
          <w:sz w:val="20"/>
          <w:lang w:val="en-US"/>
        </w:rPr>
        <w:t>Rec. ITU-R P.526-1</w:t>
      </w:r>
      <w:r w:rsidR="001F6B9D">
        <w:rPr>
          <w:b w:val="0"/>
          <w:noProof/>
          <w:sz w:val="20"/>
          <w:lang w:val="en-US"/>
        </w:rPr>
        <w:t>5</w:t>
      </w:r>
      <w:r w:rsidRPr="00BE7D17">
        <w:rPr>
          <w:b w:val="0"/>
          <w:noProof/>
          <w:sz w:val="20"/>
          <w:lang w:val="en-US"/>
        </w:rPr>
        <w:tab/>
      </w:r>
      <w:r w:rsidRPr="00AA20A5">
        <w:rPr>
          <w:b w:val="0"/>
          <w:noProof/>
          <w:sz w:val="20"/>
          <w:lang w:val="en-GB"/>
        </w:rPr>
        <w:t>Propagation by diffraction</w:t>
      </w:r>
      <w:r>
        <w:rPr>
          <w:b w:val="0"/>
          <w:noProof/>
          <w:sz w:val="20"/>
          <w:lang w:val="en-GB"/>
        </w:rPr>
        <w:tab/>
      </w:r>
      <w:r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23</w:t>
      </w:r>
    </w:p>
    <w:p w14:paraId="10AEAC6E" w14:textId="36E8C5B7" w:rsidR="009E4159" w:rsidRPr="00553D80" w:rsidRDefault="009E4159" w:rsidP="00795AF8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M.541-</w:t>
      </w:r>
      <w:r w:rsidR="00AA20A5">
        <w:rPr>
          <w:b w:val="0"/>
          <w:noProof/>
          <w:sz w:val="20"/>
          <w:lang w:val="en-GB"/>
        </w:rPr>
        <w:t>1</w:t>
      </w:r>
      <w:r w:rsidR="00046E3F">
        <w:rPr>
          <w:b w:val="0"/>
          <w:noProof/>
          <w:sz w:val="20"/>
          <w:lang w:val="en-GB"/>
        </w:rPr>
        <w:t>1</w:t>
      </w:r>
      <w:r w:rsidRPr="00553D80">
        <w:rPr>
          <w:b w:val="0"/>
          <w:noProof/>
          <w:sz w:val="20"/>
          <w:lang w:val="en-GB"/>
        </w:rPr>
        <w:tab/>
      </w:r>
      <w:r w:rsidR="00046E3F" w:rsidRPr="00046E3F">
        <w:rPr>
          <w:b w:val="0"/>
          <w:bCs/>
          <w:noProof/>
          <w:sz w:val="20"/>
          <w:lang w:val="en-GB"/>
        </w:rPr>
        <w:t>Operational procedures for the use of digital selective calling equipment in the maritime mobile service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65</w:t>
      </w:r>
    </w:p>
    <w:p w14:paraId="1819AD50" w14:textId="0350FD17" w:rsidR="00D04F04" w:rsidRPr="00553D80" w:rsidRDefault="00D04F04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jc w:val="left"/>
        <w:rPr>
          <w:b w:val="0"/>
          <w:noProof/>
          <w:sz w:val="20"/>
          <w:lang w:val="en-GB"/>
        </w:rPr>
      </w:pPr>
      <w:r w:rsidRPr="00D63060">
        <w:rPr>
          <w:b w:val="0"/>
          <w:noProof/>
          <w:sz w:val="20"/>
          <w:lang w:val="en-GB"/>
        </w:rPr>
        <w:t xml:space="preserve">Rec. ITU-R </w:t>
      </w:r>
      <w:r w:rsidR="0015652B" w:rsidRPr="00D63060">
        <w:rPr>
          <w:b w:val="0"/>
          <w:noProof/>
          <w:sz w:val="20"/>
          <w:lang w:val="en-GB"/>
        </w:rPr>
        <w:t>M</w:t>
      </w:r>
      <w:r w:rsidRPr="00D63060">
        <w:rPr>
          <w:b w:val="0"/>
          <w:noProof/>
          <w:sz w:val="20"/>
          <w:lang w:val="en-GB"/>
        </w:rPr>
        <w:t>.585-</w:t>
      </w:r>
      <w:r w:rsidR="00046E3F">
        <w:rPr>
          <w:b w:val="0"/>
          <w:noProof/>
          <w:sz w:val="20"/>
          <w:lang w:val="en-GB"/>
        </w:rPr>
        <w:t>9</w:t>
      </w:r>
      <w:r w:rsidRPr="00D63060">
        <w:rPr>
          <w:b w:val="0"/>
          <w:noProof/>
          <w:sz w:val="20"/>
          <w:lang w:val="en-GB"/>
        </w:rPr>
        <w:tab/>
      </w:r>
      <w:r w:rsidR="007672CE" w:rsidRPr="00D63060">
        <w:rPr>
          <w:b w:val="0"/>
          <w:sz w:val="20"/>
          <w:lang w:val="en-GB"/>
        </w:rPr>
        <w:t>Assignment and use of identities in the maritime mobile service</w:t>
      </w:r>
      <w:r w:rsidR="00973480">
        <w:rPr>
          <w:b w:val="0"/>
          <w:sz w:val="20"/>
          <w:lang w:val="en-GB"/>
        </w:rPr>
        <w:t xml:space="preserve"> </w:t>
      </w:r>
      <w:r w:rsidR="00973480" w:rsidRPr="00973480">
        <w:rPr>
          <w:b w:val="0"/>
          <w:i/>
          <w:iCs/>
          <w:sz w:val="20"/>
          <w:lang w:val="en-GB"/>
        </w:rPr>
        <w:t>(Annex 1)</w:t>
      </w:r>
      <w:r w:rsidRPr="00D63060">
        <w:rPr>
          <w:b w:val="0"/>
          <w:sz w:val="20"/>
          <w:lang w:val="en-GB"/>
        </w:rPr>
        <w:tab/>
      </w:r>
      <w:r w:rsidRPr="00D63060">
        <w:rPr>
          <w:b w:val="0"/>
          <w:sz w:val="20"/>
          <w:lang w:val="en-GB"/>
        </w:rPr>
        <w:tab/>
      </w:r>
      <w:r w:rsidR="006157E6">
        <w:rPr>
          <w:b w:val="0"/>
          <w:sz w:val="20"/>
          <w:lang w:val="en-GB"/>
        </w:rPr>
        <w:t>1</w:t>
      </w:r>
      <w:r w:rsidR="00795AF8">
        <w:rPr>
          <w:b w:val="0"/>
          <w:sz w:val="20"/>
          <w:lang w:val="en-GB"/>
        </w:rPr>
        <w:t>13</w:t>
      </w:r>
    </w:p>
    <w:p w14:paraId="12FE2F15" w14:textId="09BA1B7D" w:rsidR="009E4159" w:rsidRPr="00553D80" w:rsidRDefault="009E4159" w:rsidP="006157E6">
      <w:pPr>
        <w:pStyle w:val="TOC1"/>
        <w:tabs>
          <w:tab w:val="clear" w:pos="8505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046E3F">
        <w:rPr>
          <w:b w:val="0"/>
          <w:noProof/>
          <w:sz w:val="20"/>
          <w:lang w:val="en-GB"/>
        </w:rPr>
        <w:t>Rec. ITU-R M.6</w:t>
      </w:r>
      <w:r w:rsidR="00D04F04" w:rsidRPr="00046E3F">
        <w:rPr>
          <w:b w:val="0"/>
          <w:noProof/>
          <w:sz w:val="20"/>
          <w:lang w:val="en-GB"/>
        </w:rPr>
        <w:t>33-</w:t>
      </w:r>
      <w:r w:rsidR="00046E3F" w:rsidRPr="00046E3F">
        <w:rPr>
          <w:b w:val="0"/>
          <w:noProof/>
          <w:sz w:val="20"/>
          <w:lang w:val="en-GB"/>
        </w:rPr>
        <w:t>5</w:t>
      </w:r>
      <w:r w:rsidRPr="00046E3F">
        <w:rPr>
          <w:b w:val="0"/>
          <w:noProof/>
          <w:sz w:val="20"/>
          <w:lang w:val="en-GB"/>
        </w:rPr>
        <w:tab/>
      </w:r>
      <w:r w:rsidR="00046E3F" w:rsidRPr="00046E3F">
        <w:rPr>
          <w:b w:val="0"/>
          <w:sz w:val="20"/>
          <w:lang w:val="en-GB"/>
        </w:rPr>
        <w:t>Transmission characteristics of a satellite emergency position-indicating radio beacon (satellite EPIRB) operating</w:t>
      </w:r>
      <w:r w:rsidR="00046E3F">
        <w:rPr>
          <w:b w:val="0"/>
          <w:sz w:val="20"/>
          <w:lang w:val="en-GB"/>
        </w:rPr>
        <w:t xml:space="preserve"> </w:t>
      </w:r>
      <w:r w:rsidR="00046E3F" w:rsidRPr="00046E3F">
        <w:rPr>
          <w:b w:val="0"/>
          <w:sz w:val="20"/>
          <w:lang w:val="en-GB"/>
        </w:rPr>
        <w:t>through a satellite system in the 406.0-406.1</w:t>
      </w:r>
      <w:r w:rsidR="00046E3F">
        <w:rPr>
          <w:b w:val="0"/>
          <w:sz w:val="20"/>
          <w:lang w:val="en-GB"/>
        </w:rPr>
        <w:t> </w:t>
      </w:r>
      <w:r w:rsidR="00046E3F" w:rsidRPr="00046E3F">
        <w:rPr>
          <w:b w:val="0"/>
          <w:sz w:val="20"/>
          <w:lang w:val="en-GB"/>
        </w:rPr>
        <w:t>MHz band</w:t>
      </w:r>
      <w:r w:rsidRPr="00553D80">
        <w:rPr>
          <w:b w:val="0"/>
          <w:noProof/>
          <w:sz w:val="20"/>
          <w:lang w:val="en-GB"/>
        </w:rPr>
        <w:tab/>
      </w:r>
      <w:r w:rsidR="007672CE">
        <w:rPr>
          <w:b w:val="0"/>
          <w:noProof/>
          <w:sz w:val="20"/>
          <w:lang w:val="en-GB"/>
        </w:rPr>
        <w:tab/>
      </w:r>
      <w:r w:rsidR="007672CE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125</w:t>
      </w:r>
    </w:p>
    <w:p w14:paraId="3C60E9DB" w14:textId="0D6446A9" w:rsidR="009E4159" w:rsidRPr="00553D80" w:rsidRDefault="009E4159" w:rsidP="00D63060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S.672-4</w:t>
      </w:r>
      <w:r w:rsidRPr="00553D80">
        <w:rPr>
          <w:b w:val="0"/>
          <w:noProof/>
          <w:sz w:val="20"/>
          <w:lang w:val="en-GB"/>
        </w:rPr>
        <w:tab/>
        <w:t>Satellite antenna radiation pattern for use as a design objective in the fixed-satellite service employing geostationary satellites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127</w:t>
      </w:r>
    </w:p>
    <w:p w14:paraId="6CF85D5C" w14:textId="13D649BA" w:rsidR="009E4159" w:rsidRDefault="009E4159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M.690-</w:t>
      </w:r>
      <w:r w:rsidR="00AA20A5">
        <w:rPr>
          <w:b w:val="0"/>
          <w:noProof/>
          <w:sz w:val="20"/>
          <w:lang w:val="en-GB"/>
        </w:rPr>
        <w:t>3</w:t>
      </w:r>
      <w:r w:rsidRPr="00553D80">
        <w:rPr>
          <w:b w:val="0"/>
          <w:noProof/>
          <w:sz w:val="20"/>
          <w:lang w:val="en-GB"/>
        </w:rPr>
        <w:tab/>
      </w:r>
      <w:r w:rsidR="00AA20A5" w:rsidRPr="00AA20A5">
        <w:rPr>
          <w:b w:val="0"/>
          <w:noProof/>
          <w:sz w:val="20"/>
          <w:lang w:val="en-GB"/>
        </w:rPr>
        <w:t>Technical characteristics of emergency position-indicating radio beacons operating on the carrier frequencies of 121.5 MHz and 243 MHz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153</w:t>
      </w:r>
    </w:p>
    <w:p w14:paraId="79D109EF" w14:textId="511998B8" w:rsidR="004024E5" w:rsidRPr="004024E5" w:rsidRDefault="004024E5" w:rsidP="00795E91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jc w:val="left"/>
        <w:rPr>
          <w:b w:val="0"/>
          <w:bCs/>
          <w:lang w:val="en-GB"/>
        </w:rPr>
      </w:pPr>
      <w:r w:rsidRPr="009F12C0">
        <w:rPr>
          <w:b w:val="0"/>
          <w:bCs/>
          <w:noProof/>
          <w:sz w:val="20"/>
          <w:lang w:val="en-GB"/>
        </w:rPr>
        <w:t>Rec. ITU-R RA.769</w:t>
      </w:r>
      <w:r w:rsidRPr="009F12C0">
        <w:rPr>
          <w:rFonts w:hint="eastAsia"/>
          <w:b w:val="0"/>
          <w:bCs/>
          <w:noProof/>
          <w:sz w:val="20"/>
          <w:lang w:val="en-GB"/>
        </w:rPr>
        <w:t>-</w:t>
      </w:r>
      <w:r w:rsidRPr="009F12C0">
        <w:rPr>
          <w:b w:val="0"/>
          <w:bCs/>
          <w:noProof/>
          <w:sz w:val="20"/>
          <w:lang w:val="en-GB"/>
        </w:rPr>
        <w:t>2</w:t>
      </w:r>
      <w:r w:rsidRPr="009F12C0">
        <w:rPr>
          <w:b w:val="0"/>
          <w:bCs/>
          <w:noProof/>
          <w:sz w:val="20"/>
          <w:lang w:val="en-GB"/>
        </w:rPr>
        <w:tab/>
        <w:t>Protection criteria used for radio</w:t>
      </w:r>
      <w:r w:rsidRPr="009F12C0">
        <w:rPr>
          <w:rFonts w:hint="eastAsia"/>
          <w:b w:val="0"/>
          <w:bCs/>
          <w:noProof/>
          <w:sz w:val="20"/>
          <w:lang w:val="en-GB"/>
        </w:rPr>
        <w:t xml:space="preserve"> </w:t>
      </w:r>
      <w:r w:rsidRPr="009F12C0">
        <w:rPr>
          <w:b w:val="0"/>
          <w:bCs/>
          <w:noProof/>
          <w:sz w:val="20"/>
          <w:lang w:val="en-GB"/>
        </w:rPr>
        <w:t>astronomical measurements</w:t>
      </w:r>
      <w:r w:rsidR="00E52D77">
        <w:rPr>
          <w:b w:val="0"/>
          <w:bCs/>
          <w:noProof/>
          <w:sz w:val="20"/>
          <w:lang w:val="en-GB"/>
        </w:rPr>
        <w:t xml:space="preserve"> </w:t>
      </w:r>
      <w:r w:rsidR="00795E91">
        <w:rPr>
          <w:b w:val="0"/>
          <w:bCs/>
          <w:noProof/>
          <w:sz w:val="20"/>
          <w:lang w:val="en-GB"/>
        </w:rPr>
        <w:br/>
      </w:r>
      <w:r w:rsidR="00E52D77" w:rsidRPr="00046E3F">
        <w:rPr>
          <w:b w:val="0"/>
          <w:bCs/>
          <w:i/>
          <w:iCs/>
          <w:noProof/>
          <w:sz w:val="20"/>
          <w:lang w:val="en-GB"/>
        </w:rPr>
        <w:t>(parts related to the application of No. 5.372)</w:t>
      </w:r>
      <w:r>
        <w:rPr>
          <w:b w:val="0"/>
          <w:bCs/>
          <w:noProof/>
          <w:sz w:val="20"/>
          <w:lang w:val="en-GB"/>
        </w:rPr>
        <w:tab/>
      </w:r>
      <w:r>
        <w:rPr>
          <w:b w:val="0"/>
          <w:bCs/>
          <w:noProof/>
          <w:sz w:val="20"/>
          <w:lang w:val="en-GB"/>
        </w:rPr>
        <w:tab/>
      </w:r>
      <w:r w:rsidR="00795AF8">
        <w:rPr>
          <w:b w:val="0"/>
          <w:bCs/>
          <w:noProof/>
          <w:sz w:val="20"/>
          <w:lang w:val="en-GB"/>
        </w:rPr>
        <w:t>155</w:t>
      </w:r>
    </w:p>
    <w:p w14:paraId="0F22745B" w14:textId="2B261618" w:rsidR="009E4159" w:rsidRPr="00553D80" w:rsidRDefault="009E4159" w:rsidP="00D63060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P.838-</w:t>
      </w:r>
      <w:r w:rsidR="00D04F04" w:rsidRPr="00553D80">
        <w:rPr>
          <w:b w:val="0"/>
          <w:noProof/>
          <w:sz w:val="20"/>
          <w:lang w:val="en-GB"/>
        </w:rPr>
        <w:t>3</w:t>
      </w:r>
      <w:r w:rsidRPr="00553D80">
        <w:rPr>
          <w:b w:val="0"/>
          <w:noProof/>
          <w:sz w:val="20"/>
          <w:lang w:val="en-GB"/>
        </w:rPr>
        <w:tab/>
        <w:t>Specific attenuation model for rain for use in prediction methods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167</w:t>
      </w:r>
    </w:p>
    <w:p w14:paraId="37D68A1F" w14:textId="52F41256" w:rsidR="00D04F04" w:rsidRPr="00553D80" w:rsidRDefault="00D04F04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M.1084-</w:t>
      </w:r>
      <w:r w:rsidR="0080545A">
        <w:rPr>
          <w:b w:val="0"/>
          <w:noProof/>
          <w:sz w:val="20"/>
          <w:lang w:val="en-GB"/>
        </w:rPr>
        <w:t>5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sz w:val="20"/>
          <w:lang w:val="en-GB"/>
        </w:rPr>
        <w:t>Interim solutions for improved efficiency in the use of the band 156-174 MHz by stations in the maritime mobile service</w:t>
      </w:r>
      <w:r w:rsidR="00531CE9" w:rsidRPr="00553D80">
        <w:rPr>
          <w:b w:val="0"/>
          <w:sz w:val="20"/>
          <w:lang w:val="en-GB"/>
        </w:rPr>
        <w:tab/>
      </w:r>
      <w:r w:rsidR="00531CE9" w:rsidRPr="00553D80">
        <w:rPr>
          <w:b w:val="0"/>
          <w:sz w:val="20"/>
          <w:lang w:val="en-GB"/>
        </w:rPr>
        <w:tab/>
      </w:r>
      <w:r w:rsidR="00795AF8">
        <w:rPr>
          <w:b w:val="0"/>
          <w:sz w:val="20"/>
          <w:lang w:val="en-GB"/>
        </w:rPr>
        <w:t>175</w:t>
      </w:r>
    </w:p>
    <w:p w14:paraId="3C7D908B" w14:textId="5528E3F3" w:rsidR="009E4159" w:rsidRPr="00553D80" w:rsidRDefault="009E4159" w:rsidP="006157E6">
      <w:pPr>
        <w:pStyle w:val="TOC1"/>
        <w:tabs>
          <w:tab w:val="clear" w:pos="8505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SM.1138</w:t>
      </w:r>
      <w:r w:rsidR="00D04F04" w:rsidRPr="00553D80">
        <w:rPr>
          <w:b w:val="0"/>
          <w:noProof/>
          <w:sz w:val="20"/>
          <w:lang w:val="en-GB"/>
        </w:rPr>
        <w:t>-</w:t>
      </w:r>
      <w:r w:rsidR="001F6B9D">
        <w:rPr>
          <w:b w:val="0"/>
          <w:noProof/>
          <w:sz w:val="20"/>
          <w:lang w:val="en-GB"/>
        </w:rPr>
        <w:t>3</w:t>
      </w:r>
      <w:r w:rsidRPr="00553D80">
        <w:rPr>
          <w:b w:val="0"/>
          <w:noProof/>
          <w:sz w:val="20"/>
          <w:lang w:val="en-GB"/>
        </w:rPr>
        <w:tab/>
      </w:r>
      <w:r w:rsidR="007672CE" w:rsidRPr="007672CE">
        <w:rPr>
          <w:b w:val="0"/>
          <w:noProof/>
          <w:sz w:val="20"/>
          <w:lang w:val="en-GB"/>
        </w:rPr>
        <w:t>Determination of necessary bandwidths including examples for their calculation</w:t>
      </w:r>
      <w:r w:rsidR="007672CE">
        <w:rPr>
          <w:b w:val="0"/>
          <w:noProof/>
          <w:sz w:val="20"/>
          <w:lang w:val="en-GB"/>
        </w:rPr>
        <w:t xml:space="preserve"> </w:t>
      </w:r>
      <w:r w:rsidR="007672CE" w:rsidRPr="007672CE">
        <w:rPr>
          <w:b w:val="0"/>
          <w:noProof/>
          <w:sz w:val="20"/>
          <w:lang w:val="en-GB"/>
        </w:rPr>
        <w:t>and associated examples for the designation of emissions</w:t>
      </w:r>
      <w:r w:rsidRPr="00553D80">
        <w:rPr>
          <w:b w:val="0"/>
          <w:noProof/>
          <w:sz w:val="20"/>
          <w:lang w:val="en-GB"/>
        </w:rPr>
        <w:tab/>
      </w:r>
      <w:r w:rsidR="007672CE">
        <w:rPr>
          <w:b w:val="0"/>
          <w:noProof/>
          <w:sz w:val="20"/>
          <w:lang w:val="en-GB"/>
        </w:rPr>
        <w:tab/>
      </w:r>
      <w:r w:rsidR="007672CE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187</w:t>
      </w:r>
    </w:p>
    <w:p w14:paraId="381EF0B3" w14:textId="77777777" w:rsidR="00421971" w:rsidRPr="00553D80" w:rsidRDefault="00421971" w:rsidP="00421971">
      <w:pPr>
        <w:rPr>
          <w:lang w:val="en-GB"/>
        </w:rPr>
      </w:pPr>
    </w:p>
    <w:p w14:paraId="1604D274" w14:textId="77777777" w:rsidR="00421971" w:rsidRPr="007F6100" w:rsidRDefault="00421971" w:rsidP="00421971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0" w:right="-425" w:firstLine="0"/>
        <w:jc w:val="right"/>
        <w:rPr>
          <w:b w:val="0"/>
          <w:i/>
          <w:iCs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br w:type="page"/>
      </w:r>
      <w:r w:rsidRPr="007F6100">
        <w:rPr>
          <w:b w:val="0"/>
          <w:i/>
          <w:iCs/>
          <w:sz w:val="20"/>
          <w:lang w:val="en-GB"/>
        </w:rPr>
        <w:lastRenderedPageBreak/>
        <w:t>Page</w:t>
      </w:r>
    </w:p>
    <w:p w14:paraId="520A744C" w14:textId="123347DF" w:rsidR="00421971" w:rsidRPr="00553D80" w:rsidRDefault="00421971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SA.1154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noProof/>
          <w:sz w:val="20"/>
          <w:lang w:val="en-GB"/>
        </w:rPr>
        <w:t>Provisions to protect the space research (SR), space operations (SO) and Earth-exploration satellite services (EES) and to facilitate sharing with the mobile service in the 2 025-2 110 MHz and 2 200-2 290 MHz bands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195</w:t>
      </w:r>
    </w:p>
    <w:p w14:paraId="761C5E60" w14:textId="077DAF1A" w:rsidR="009E4159" w:rsidRPr="00310B36" w:rsidRDefault="009E4159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310B36">
        <w:rPr>
          <w:b w:val="0"/>
          <w:noProof/>
          <w:sz w:val="20"/>
          <w:lang w:val="en-GB"/>
        </w:rPr>
        <w:t>Rec. ITU-R M.1171</w:t>
      </w:r>
      <w:r w:rsidR="0080545A" w:rsidRPr="00310B36">
        <w:rPr>
          <w:b w:val="0"/>
          <w:noProof/>
          <w:sz w:val="20"/>
          <w:lang w:val="en-GB"/>
        </w:rPr>
        <w:t>-</w:t>
      </w:r>
      <w:r w:rsidR="00046E3F" w:rsidRPr="00310B36">
        <w:rPr>
          <w:b w:val="0"/>
          <w:noProof/>
          <w:sz w:val="20"/>
          <w:lang w:val="en-GB"/>
        </w:rPr>
        <w:t>1</w:t>
      </w:r>
      <w:r w:rsidRPr="00310B36">
        <w:rPr>
          <w:b w:val="0"/>
          <w:noProof/>
          <w:sz w:val="20"/>
          <w:lang w:val="en-GB"/>
        </w:rPr>
        <w:tab/>
      </w:r>
      <w:r w:rsidR="00046E3F" w:rsidRPr="00310B36">
        <w:rPr>
          <w:b w:val="0"/>
          <w:noProof/>
          <w:sz w:val="20"/>
          <w:lang w:val="en-GB"/>
        </w:rPr>
        <w:t>Radiotelephony procedures for routine calls in the maritime mobile service</w:t>
      </w:r>
      <w:r w:rsidRPr="00310B36">
        <w:rPr>
          <w:b w:val="0"/>
          <w:noProof/>
          <w:sz w:val="20"/>
          <w:lang w:val="en-GB"/>
        </w:rPr>
        <w:tab/>
      </w:r>
      <w:r w:rsidRPr="00310B36">
        <w:rPr>
          <w:b w:val="0"/>
          <w:noProof/>
          <w:sz w:val="20"/>
          <w:lang w:val="en-GB"/>
        </w:rPr>
        <w:tab/>
      </w:r>
      <w:r w:rsidR="00795AF8">
        <w:rPr>
          <w:b w:val="0"/>
          <w:noProof/>
          <w:sz w:val="20"/>
          <w:lang w:val="en-GB"/>
        </w:rPr>
        <w:t>225</w:t>
      </w:r>
    </w:p>
    <w:p w14:paraId="395D6FC1" w14:textId="6CA44B0B" w:rsidR="009E4159" w:rsidRPr="00553D80" w:rsidRDefault="009E4159" w:rsidP="006157E6">
      <w:pPr>
        <w:pStyle w:val="TOC1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3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M.1172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  <w:t>Miscellaneous abbreviations and signals to be used for radiocommunications in the maritime mobile service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861D78">
        <w:rPr>
          <w:b w:val="0"/>
          <w:noProof/>
          <w:sz w:val="20"/>
          <w:lang w:val="en-GB"/>
        </w:rPr>
        <w:t>2</w:t>
      </w:r>
      <w:r w:rsidR="00795AF8">
        <w:rPr>
          <w:b w:val="0"/>
          <w:noProof/>
          <w:sz w:val="20"/>
          <w:lang w:val="en-GB"/>
        </w:rPr>
        <w:t>35</w:t>
      </w:r>
    </w:p>
    <w:p w14:paraId="509501B9" w14:textId="2367E14E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M.1173</w:t>
      </w:r>
      <w:r w:rsidR="0080545A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noProof/>
          <w:sz w:val="20"/>
          <w:lang w:val="en-GB"/>
        </w:rPr>
        <w:t>Technical characteristics of single-sideband transmitters used in the maritime mobile service for radiotelephony in the bands between 1 606.5 kHz (1 605 kHz Region 2) and 4 000 kHz and between 4 000 kHz and 27 500 kHz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269</w:t>
      </w:r>
    </w:p>
    <w:p w14:paraId="7F700266" w14:textId="7489A160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M.1174-</w:t>
      </w:r>
      <w:r w:rsidR="001F6B9D">
        <w:rPr>
          <w:b w:val="0"/>
          <w:noProof/>
          <w:sz w:val="20"/>
          <w:lang w:val="en-GB"/>
        </w:rPr>
        <w:t>4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noProof/>
          <w:sz w:val="20"/>
          <w:lang w:val="en-GB"/>
        </w:rPr>
        <w:t>Technical characteristics of equipment used for on-board vessel communications in the bands between 450 and 470 MHz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271</w:t>
      </w:r>
    </w:p>
    <w:p w14:paraId="07190E5A" w14:textId="7B241A42" w:rsidR="009E4159" w:rsidRPr="00553D80" w:rsidRDefault="009E4159" w:rsidP="00D63060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M.1187</w:t>
      </w:r>
      <w:r w:rsidR="00D04F04" w:rsidRPr="00553D80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r w:rsidR="00531CE9" w:rsidRPr="00553D80">
        <w:rPr>
          <w:b w:val="0"/>
          <w:sz w:val="20"/>
          <w:lang w:val="en-GB"/>
        </w:rPr>
        <w:t>A method for the calculation of the potentially affected region for a mobile-satellite service network in the 1-3 GHz range using circular orbits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275</w:t>
      </w:r>
    </w:p>
    <w:p w14:paraId="67483995" w14:textId="5190FEAD" w:rsidR="009E4159" w:rsidRPr="00553D80" w:rsidRDefault="009E4159" w:rsidP="0080545A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S.1256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noProof/>
          <w:sz w:val="20"/>
          <w:lang w:val="en-GB"/>
        </w:rPr>
        <w:t>Methodology for determining the maximum aggregate power flux-density at the geostationary-satellite orbit in the band 6 700-7 075 MHz from feeder links of non-geostationary satellite systems in the mobile-satellite service in the space</w:t>
      </w:r>
      <w:r w:rsidR="0080545A" w:rsidRPr="0080545A">
        <w:rPr>
          <w:b w:val="0"/>
          <w:noProof/>
          <w:sz w:val="20"/>
          <w:lang w:val="en-GB"/>
        </w:rPr>
        <w:noBreakHyphen/>
        <w:t>to</w:t>
      </w:r>
      <w:r w:rsidR="0080545A" w:rsidRPr="0080545A">
        <w:rPr>
          <w:b w:val="0"/>
          <w:noProof/>
          <w:sz w:val="20"/>
          <w:lang w:val="en-GB"/>
        </w:rPr>
        <w:noBreakHyphen/>
        <w:t>Earth direction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281</w:t>
      </w:r>
    </w:p>
    <w:p w14:paraId="58D5ED62" w14:textId="7B908DA2" w:rsidR="009E4159" w:rsidRPr="00553D80" w:rsidRDefault="009E4159" w:rsidP="00D63060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 xml:space="preserve">Rec. ITU-R </w:t>
      </w:r>
      <w:r w:rsidR="00D04F04" w:rsidRPr="00553D80">
        <w:rPr>
          <w:b w:val="0"/>
          <w:noProof/>
          <w:sz w:val="20"/>
          <w:lang w:val="en-GB"/>
        </w:rPr>
        <w:t>R</w:t>
      </w:r>
      <w:r w:rsidRPr="00553D80">
        <w:rPr>
          <w:b w:val="0"/>
          <w:noProof/>
          <w:sz w:val="20"/>
          <w:lang w:val="en-GB"/>
        </w:rPr>
        <w:t>S.1260-</w:t>
      </w:r>
      <w:r w:rsidR="00C85226">
        <w:rPr>
          <w:b w:val="0"/>
          <w:noProof/>
          <w:sz w:val="20"/>
          <w:lang w:val="en-GB"/>
        </w:rPr>
        <w:t>2</w:t>
      </w:r>
      <w:r w:rsidRPr="00553D80">
        <w:rPr>
          <w:b w:val="0"/>
          <w:noProof/>
          <w:sz w:val="20"/>
          <w:lang w:val="en-GB"/>
        </w:rPr>
        <w:tab/>
        <w:t>Feasibility of sharing between active spaceborne sensors and other services in the range 420-470 MHz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289</w:t>
      </w:r>
    </w:p>
    <w:p w14:paraId="2200A3CB" w14:textId="5C9D49B8" w:rsidR="009E4159" w:rsidRPr="00553D80" w:rsidRDefault="009E4159" w:rsidP="00D63060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BO.1293-2</w:t>
      </w:r>
      <w:r w:rsidRPr="00553D80">
        <w:rPr>
          <w:b w:val="0"/>
          <w:noProof/>
          <w:sz w:val="20"/>
          <w:lang w:val="en-GB"/>
        </w:rPr>
        <w:tab/>
        <w:t>Protection masks and associated calculation methods for interference into broadcast-satellite systems involving digital emissions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303</w:t>
      </w:r>
    </w:p>
    <w:p w14:paraId="0D985866" w14:textId="5037045E" w:rsidR="009E4159" w:rsidRPr="00553D80" w:rsidRDefault="009E4159" w:rsidP="00D63060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S.1340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  <w:t>Sharing between feeder links for the mobile-satellite service and the aeronautical radionavigation service in the Earth-to-space direction in the band 15.4-15.7 GHz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315</w:t>
      </w:r>
    </w:p>
    <w:p w14:paraId="2883F6A1" w14:textId="1AFD6D76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S.1428-1</w:t>
      </w:r>
      <w:r w:rsidRPr="00553D80">
        <w:rPr>
          <w:b w:val="0"/>
          <w:noProof/>
          <w:sz w:val="20"/>
          <w:lang w:val="en-GB"/>
        </w:rPr>
        <w:tab/>
        <w:t>Reference FSS earth-station radiation patterns for use in interference assessment involving non-GSO satellites in frequency bands between 10.7 GHz and 30 GHz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331</w:t>
      </w:r>
    </w:p>
    <w:p w14:paraId="69995374" w14:textId="75CAB8D5" w:rsidR="009E4159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BO.1443-</w:t>
      </w:r>
      <w:r w:rsidR="0080545A">
        <w:rPr>
          <w:b w:val="0"/>
          <w:noProof/>
          <w:sz w:val="20"/>
          <w:lang w:val="en-GB"/>
        </w:rPr>
        <w:t>3</w:t>
      </w:r>
      <w:r w:rsidRPr="00553D80">
        <w:rPr>
          <w:b w:val="0"/>
          <w:noProof/>
          <w:sz w:val="20"/>
          <w:lang w:val="en-GB"/>
        </w:rPr>
        <w:tab/>
      </w:r>
      <w:r w:rsidR="0080545A" w:rsidRPr="0080545A">
        <w:rPr>
          <w:b w:val="0"/>
          <w:noProof/>
          <w:sz w:val="20"/>
          <w:lang w:val="en-GB"/>
        </w:rPr>
        <w:t>Reference BSS earth station antenna patterns for use in interference assessment involving non-GSO satellites in frequency bands covered by RR Appendix 30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861D78">
        <w:rPr>
          <w:b w:val="0"/>
          <w:noProof/>
          <w:sz w:val="20"/>
          <w:lang w:val="en-GB"/>
        </w:rPr>
        <w:t>3</w:t>
      </w:r>
      <w:r w:rsidR="00D12216">
        <w:rPr>
          <w:b w:val="0"/>
          <w:noProof/>
          <w:sz w:val="20"/>
          <w:lang w:val="en-GB"/>
        </w:rPr>
        <w:t>35</w:t>
      </w:r>
    </w:p>
    <w:p w14:paraId="68CBD0C7" w14:textId="3C509C0F" w:rsidR="004024E5" w:rsidRPr="004024E5" w:rsidRDefault="004024E5" w:rsidP="004024E5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bookmarkStart w:id="0" w:name="irecnoe"/>
      <w:bookmarkEnd w:id="0"/>
      <w:r w:rsidRPr="009F12C0">
        <w:rPr>
          <w:b w:val="0"/>
          <w:noProof/>
          <w:sz w:val="20"/>
          <w:lang w:val="en-GB"/>
        </w:rPr>
        <w:t>Rec. ITU-R  RA.1513-2</w:t>
      </w:r>
      <w:r w:rsidRPr="009F12C0">
        <w:rPr>
          <w:b w:val="0"/>
          <w:noProof/>
          <w:sz w:val="20"/>
          <w:lang w:val="en-GB"/>
        </w:rPr>
        <w:tab/>
        <w:t>Levels of data loss to radio astronomy observations and percentage-of-time criteria resulting from degradation by interference for frequency bands allocated to the radio astronomy service on a primary basis</w:t>
      </w:r>
      <w:r>
        <w:rPr>
          <w:b w:val="0"/>
          <w:noProof/>
          <w:sz w:val="20"/>
          <w:lang w:val="en-GB"/>
        </w:rPr>
        <w:tab/>
      </w:r>
      <w:r>
        <w:rPr>
          <w:b w:val="0"/>
          <w:noProof/>
          <w:sz w:val="20"/>
          <w:lang w:val="en-GB"/>
        </w:rPr>
        <w:tab/>
      </w:r>
      <w:r w:rsidR="009B4E36">
        <w:rPr>
          <w:b w:val="0"/>
          <w:noProof/>
          <w:sz w:val="20"/>
          <w:lang w:val="en-GB"/>
        </w:rPr>
        <w:t>3</w:t>
      </w:r>
      <w:r w:rsidR="00D12216">
        <w:rPr>
          <w:b w:val="0"/>
          <w:noProof/>
          <w:sz w:val="20"/>
          <w:lang w:val="en-GB"/>
        </w:rPr>
        <w:t>43</w:t>
      </w:r>
    </w:p>
    <w:p w14:paraId="3A238898" w14:textId="2BC72E7E" w:rsidR="00D04F04" w:rsidRPr="00553D80" w:rsidRDefault="00D04F04" w:rsidP="006157E6">
      <w:pPr>
        <w:pStyle w:val="TOC1"/>
        <w:tabs>
          <w:tab w:val="clear" w:pos="8505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M.1583</w:t>
      </w:r>
      <w:r w:rsidR="007672CE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r w:rsidR="007672CE" w:rsidRPr="007672CE">
        <w:rPr>
          <w:b w:val="0"/>
          <w:sz w:val="20"/>
          <w:lang w:val="en-GB"/>
        </w:rPr>
        <w:t>Interference calculations between non-geostationary mobile-satellite</w:t>
      </w:r>
      <w:r w:rsidR="007672CE">
        <w:rPr>
          <w:b w:val="0"/>
          <w:sz w:val="20"/>
          <w:lang w:val="en-GB"/>
        </w:rPr>
        <w:t xml:space="preserve"> </w:t>
      </w:r>
      <w:r w:rsidR="007672CE" w:rsidRPr="007672CE">
        <w:rPr>
          <w:b w:val="0"/>
          <w:sz w:val="20"/>
          <w:lang w:val="en-GB"/>
        </w:rPr>
        <w:t>service or radionavigation-satellite service systems</w:t>
      </w:r>
      <w:r w:rsidR="007672CE">
        <w:rPr>
          <w:b w:val="0"/>
          <w:sz w:val="20"/>
          <w:lang w:val="en-GB"/>
        </w:rPr>
        <w:t xml:space="preserve"> </w:t>
      </w:r>
      <w:r w:rsidR="007672CE" w:rsidRPr="007672CE">
        <w:rPr>
          <w:b w:val="0"/>
          <w:sz w:val="20"/>
          <w:lang w:val="en-GB"/>
        </w:rPr>
        <w:t>and radio astronomy telescope sites</w:t>
      </w:r>
      <w:r w:rsidR="00531CE9" w:rsidRPr="00553D80">
        <w:rPr>
          <w:b w:val="0"/>
          <w:sz w:val="20"/>
          <w:lang w:val="en-GB"/>
        </w:rPr>
        <w:tab/>
      </w:r>
      <w:r w:rsidR="006157E6">
        <w:rPr>
          <w:b w:val="0"/>
          <w:sz w:val="20"/>
          <w:lang w:val="en-GB"/>
        </w:rPr>
        <w:tab/>
      </w:r>
      <w:r w:rsidR="007672CE">
        <w:rPr>
          <w:b w:val="0"/>
          <w:sz w:val="20"/>
          <w:lang w:val="en-GB"/>
        </w:rPr>
        <w:tab/>
      </w:r>
      <w:r w:rsidR="00D12216">
        <w:rPr>
          <w:b w:val="0"/>
          <w:sz w:val="20"/>
          <w:lang w:val="en-GB"/>
        </w:rPr>
        <w:t>357</w:t>
      </w:r>
    </w:p>
    <w:p w14:paraId="003C07F0" w14:textId="5E104E98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S.1586</w:t>
      </w:r>
      <w:r w:rsidR="00531CE9" w:rsidRPr="00553D80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bookmarkStart w:id="1" w:name="Pre_title"/>
      <w:r w:rsidRPr="00553D80">
        <w:rPr>
          <w:b w:val="0"/>
          <w:noProof/>
          <w:sz w:val="20"/>
          <w:lang w:val="en-GB"/>
        </w:rPr>
        <w:t>Calculation of unwanted emission levels produced by a non</w:t>
      </w:r>
      <w:r w:rsidRPr="00553D80">
        <w:rPr>
          <w:b w:val="0"/>
          <w:noProof/>
          <w:sz w:val="20"/>
          <w:lang w:val="en-GB"/>
        </w:rPr>
        <w:noBreakHyphen/>
        <w:t>geostationary  fixed-satellite service system at radio astronomy sites</w:t>
      </w:r>
      <w:bookmarkEnd w:id="1"/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365</w:t>
      </w:r>
    </w:p>
    <w:p w14:paraId="1A093810" w14:textId="51E8E694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F.1613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  <w:t>Operational and deployment requirements for fixed wireless access systems in the fixed service in Region 3 to ensure the protection of systems in the Earth exploration-satellite service (active) and the space research service (active) in the band 5</w:t>
      </w:r>
      <w:r w:rsidR="00421971" w:rsidRPr="00553D80">
        <w:rPr>
          <w:rFonts w:ascii="Tms Rmn" w:hAnsi="Tms Rmn"/>
          <w:b w:val="0"/>
          <w:noProof/>
          <w:sz w:val="12"/>
          <w:lang w:val="en-GB"/>
        </w:rPr>
        <w:t> </w:t>
      </w:r>
      <w:r w:rsidRPr="00553D80">
        <w:rPr>
          <w:b w:val="0"/>
          <w:noProof/>
          <w:sz w:val="20"/>
          <w:lang w:val="en-GB"/>
        </w:rPr>
        <w:t>250-5</w:t>
      </w:r>
      <w:r w:rsidR="00421971" w:rsidRPr="00553D80">
        <w:rPr>
          <w:rFonts w:ascii="Tms Rmn" w:hAnsi="Tms Rmn"/>
          <w:b w:val="0"/>
          <w:noProof/>
          <w:sz w:val="12"/>
          <w:lang w:val="en-GB"/>
        </w:rPr>
        <w:t> </w:t>
      </w:r>
      <w:r w:rsidRPr="00553D80">
        <w:rPr>
          <w:b w:val="0"/>
          <w:noProof/>
          <w:sz w:val="20"/>
          <w:lang w:val="en-GB"/>
        </w:rPr>
        <w:t>350 MHz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373</w:t>
      </w:r>
    </w:p>
    <w:p w14:paraId="6EB8884A" w14:textId="44346949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RA.1631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  <w:t>Reference radio astronomy antenna pattern to be used for compatibility analyses between non-GSO systems and radio astronomy service stations based on the epfd concept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389</w:t>
      </w:r>
    </w:p>
    <w:p w14:paraId="29174DA2" w14:textId="77777777" w:rsidR="00421971" w:rsidRPr="007F6100" w:rsidRDefault="00421971" w:rsidP="00421971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0" w:right="-425" w:firstLine="0"/>
        <w:jc w:val="right"/>
        <w:rPr>
          <w:b w:val="0"/>
          <w:i/>
          <w:iCs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br w:type="page"/>
      </w:r>
      <w:r w:rsidRPr="007F6100">
        <w:rPr>
          <w:b w:val="0"/>
          <w:i/>
          <w:iCs/>
          <w:sz w:val="20"/>
          <w:lang w:val="en-GB"/>
        </w:rPr>
        <w:lastRenderedPageBreak/>
        <w:t>Page</w:t>
      </w:r>
    </w:p>
    <w:p w14:paraId="5F9A85BF" w14:textId="580B0E1C" w:rsidR="00421971" w:rsidRPr="00553D80" w:rsidRDefault="00421971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M.1642-2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sz w:val="20"/>
          <w:lang w:val="en-GB"/>
        </w:rPr>
        <w:t>Methodology for assessing the maximum aggregate equivalent power flux-density at an aeronautical radionavigation service station from all radionavigation-satellite service systems operating in the 1</w:t>
      </w:r>
      <w:r w:rsidRPr="00553D80">
        <w:rPr>
          <w:rFonts w:ascii="Tms Rmn" w:hAnsi="Tms Rmn"/>
          <w:b w:val="0"/>
          <w:sz w:val="12"/>
          <w:lang w:val="en-GB"/>
        </w:rPr>
        <w:t> </w:t>
      </w:r>
      <w:r w:rsidRPr="00553D80">
        <w:rPr>
          <w:b w:val="0"/>
          <w:sz w:val="20"/>
          <w:lang w:val="en-GB"/>
        </w:rPr>
        <w:t>164-1</w:t>
      </w:r>
      <w:r w:rsidRPr="00553D80">
        <w:rPr>
          <w:rFonts w:ascii="Tms Rmn" w:hAnsi="Tms Rmn"/>
          <w:b w:val="0"/>
          <w:sz w:val="12"/>
          <w:lang w:val="en-GB"/>
        </w:rPr>
        <w:t> </w:t>
      </w:r>
      <w:r w:rsidRPr="00553D80">
        <w:rPr>
          <w:b w:val="0"/>
          <w:sz w:val="20"/>
          <w:lang w:val="en-GB"/>
        </w:rPr>
        <w:t>215 MHz band</w:t>
      </w:r>
      <w:r w:rsidRPr="00553D80">
        <w:rPr>
          <w:b w:val="0"/>
          <w:sz w:val="20"/>
          <w:lang w:val="en-GB"/>
        </w:rPr>
        <w:tab/>
      </w:r>
      <w:r w:rsidRPr="00553D80">
        <w:rPr>
          <w:b w:val="0"/>
          <w:sz w:val="20"/>
          <w:lang w:val="en-GB"/>
        </w:rPr>
        <w:tab/>
      </w:r>
      <w:r w:rsidR="00D12216">
        <w:rPr>
          <w:b w:val="0"/>
          <w:sz w:val="20"/>
          <w:lang w:val="en-GB"/>
        </w:rPr>
        <w:t>393</w:t>
      </w:r>
    </w:p>
    <w:p w14:paraId="4609CFEC" w14:textId="4923C4F5" w:rsidR="009E4159" w:rsidRPr="00553D80" w:rsidRDefault="009E4159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M.1643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  <w:t>Technical and operational requirements for aircraft earth stations of aeronautical mobile-satellite service including those using fixed-satellite service network transponders in the band 14-14.5 GHz (Earth-to-space)</w:t>
      </w:r>
      <w:r w:rsidRPr="00553D80">
        <w:rPr>
          <w:b w:val="0"/>
          <w:noProof/>
          <w:sz w:val="20"/>
          <w:lang w:val="en-GB"/>
        </w:rPr>
        <w:tab/>
      </w:r>
      <w:r w:rsidRPr="00553D80">
        <w:rPr>
          <w:b w:val="0"/>
          <w:noProof/>
          <w:sz w:val="20"/>
          <w:lang w:val="en-GB"/>
        </w:rPr>
        <w:tab/>
      </w:r>
      <w:r w:rsidR="00861D78">
        <w:rPr>
          <w:b w:val="0"/>
          <w:noProof/>
          <w:sz w:val="20"/>
          <w:lang w:val="en-GB"/>
        </w:rPr>
        <w:t>4</w:t>
      </w:r>
      <w:r w:rsidR="00D12216">
        <w:rPr>
          <w:b w:val="0"/>
          <w:noProof/>
          <w:sz w:val="20"/>
          <w:lang w:val="en-GB"/>
        </w:rPr>
        <w:t>09</w:t>
      </w:r>
    </w:p>
    <w:p w14:paraId="017A5AEB" w14:textId="1AB3651A" w:rsidR="00D04F04" w:rsidRPr="00553D80" w:rsidRDefault="00D04F04" w:rsidP="00AD05A6">
      <w:pPr>
        <w:pStyle w:val="TOC1"/>
        <w:tabs>
          <w:tab w:val="clear" w:pos="8505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M.1652</w:t>
      </w:r>
      <w:r w:rsidR="007672CE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r w:rsidR="007672CE" w:rsidRPr="00795E91">
        <w:rPr>
          <w:b w:val="0"/>
          <w:spacing w:val="-4"/>
          <w:sz w:val="20"/>
          <w:lang w:val="en-GB"/>
        </w:rPr>
        <w:t>Dynamic frequency selection in wireless access systems including radio local area networks for the purpose of protecting the radiodetermination service in the 5 GHz band</w:t>
      </w:r>
      <w:r w:rsidR="00421971" w:rsidRPr="00553D80">
        <w:rPr>
          <w:b w:val="0"/>
          <w:sz w:val="20"/>
          <w:lang w:val="en-GB"/>
        </w:rPr>
        <w:t xml:space="preserve"> </w:t>
      </w:r>
      <w:r w:rsidR="00795E91">
        <w:rPr>
          <w:b w:val="0"/>
          <w:sz w:val="20"/>
          <w:lang w:val="en-GB"/>
        </w:rPr>
        <w:br/>
      </w:r>
      <w:r w:rsidR="00421971" w:rsidRPr="00584697">
        <w:rPr>
          <w:b w:val="0"/>
          <w:i/>
          <w:iCs/>
          <w:sz w:val="20"/>
          <w:lang w:val="en-GB"/>
        </w:rPr>
        <w:t>(</w:t>
      </w:r>
      <w:r w:rsidR="00AD05A6" w:rsidRPr="00046E3F">
        <w:rPr>
          <w:b w:val="0"/>
          <w:i/>
          <w:iCs/>
          <w:sz w:val="20"/>
          <w:lang w:val="en-GB"/>
        </w:rPr>
        <w:t>Annexes 1 and 5</w:t>
      </w:r>
      <w:r w:rsidR="00421971" w:rsidRPr="00584697">
        <w:rPr>
          <w:b w:val="0"/>
          <w:i/>
          <w:iCs/>
          <w:sz w:val="20"/>
          <w:lang w:val="en-GB"/>
        </w:rPr>
        <w:t>)</w:t>
      </w:r>
      <w:r w:rsidR="00421971" w:rsidRPr="00553D80">
        <w:rPr>
          <w:b w:val="0"/>
          <w:sz w:val="20"/>
          <w:lang w:val="en-GB"/>
        </w:rPr>
        <w:tab/>
      </w:r>
      <w:r w:rsidR="00BA06CA">
        <w:rPr>
          <w:b w:val="0"/>
          <w:sz w:val="20"/>
          <w:lang w:val="en-GB"/>
        </w:rPr>
        <w:tab/>
      </w:r>
      <w:r w:rsidR="00BA06CA">
        <w:rPr>
          <w:b w:val="0"/>
          <w:sz w:val="20"/>
          <w:lang w:val="en-GB"/>
        </w:rPr>
        <w:tab/>
      </w:r>
      <w:r w:rsidR="00861D78">
        <w:rPr>
          <w:b w:val="0"/>
          <w:sz w:val="20"/>
          <w:lang w:val="en-GB"/>
        </w:rPr>
        <w:t>4</w:t>
      </w:r>
      <w:r w:rsidR="00D12216">
        <w:rPr>
          <w:b w:val="0"/>
          <w:sz w:val="20"/>
          <w:lang w:val="en-GB"/>
        </w:rPr>
        <w:t>15</w:t>
      </w:r>
    </w:p>
    <w:p w14:paraId="4DFE961A" w14:textId="31022496" w:rsidR="00D04F04" w:rsidRPr="00553D80" w:rsidRDefault="00D04F04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>Rec. ITU-R M.1827</w:t>
      </w:r>
      <w:r w:rsidR="0080545A">
        <w:rPr>
          <w:b w:val="0"/>
          <w:noProof/>
          <w:sz w:val="20"/>
          <w:lang w:val="en-GB"/>
        </w:rPr>
        <w:t>-1</w:t>
      </w:r>
      <w:r w:rsidRPr="00553D80">
        <w:rPr>
          <w:b w:val="0"/>
          <w:noProof/>
          <w:sz w:val="20"/>
          <w:lang w:val="en-GB"/>
        </w:rPr>
        <w:tab/>
      </w:r>
      <w:r w:rsidR="00BE7D17">
        <w:rPr>
          <w:b w:val="0"/>
          <w:noProof/>
          <w:sz w:val="20"/>
          <w:lang w:val="en-GB"/>
        </w:rPr>
        <w:t>Guideline on t</w:t>
      </w:r>
      <w:proofErr w:type="spellStart"/>
      <w:r w:rsidR="0080545A" w:rsidRPr="0080545A">
        <w:rPr>
          <w:b w:val="0"/>
          <w:sz w:val="20"/>
          <w:lang w:val="en-GB"/>
        </w:rPr>
        <w:t>echnical</w:t>
      </w:r>
      <w:proofErr w:type="spellEnd"/>
      <w:r w:rsidR="0080545A" w:rsidRPr="0080545A">
        <w:rPr>
          <w:b w:val="0"/>
          <w:sz w:val="20"/>
          <w:lang w:val="en-GB"/>
        </w:rPr>
        <w:t xml:space="preserve"> and operational requirements for stations of the aeronautical mobile (R) service limited to surface application at airports </w:t>
      </w:r>
      <w:r w:rsidR="00BE7D17">
        <w:rPr>
          <w:b w:val="0"/>
          <w:sz w:val="20"/>
          <w:lang w:val="en-GB"/>
        </w:rPr>
        <w:t xml:space="preserve">in the frequency </w:t>
      </w:r>
      <w:r w:rsidR="0080545A" w:rsidRPr="0080545A">
        <w:rPr>
          <w:b w:val="0"/>
          <w:sz w:val="20"/>
          <w:lang w:val="en-GB"/>
        </w:rPr>
        <w:t>band 5 091-5 150 MHz</w:t>
      </w:r>
      <w:r w:rsidR="00421971" w:rsidRPr="00553D80">
        <w:rPr>
          <w:b w:val="0"/>
          <w:sz w:val="20"/>
          <w:lang w:val="en-GB"/>
        </w:rPr>
        <w:tab/>
      </w:r>
      <w:r w:rsidR="00421971" w:rsidRPr="00553D80">
        <w:rPr>
          <w:b w:val="0"/>
          <w:sz w:val="20"/>
          <w:lang w:val="en-GB"/>
        </w:rPr>
        <w:tab/>
      </w:r>
      <w:r w:rsidR="00C85226">
        <w:rPr>
          <w:b w:val="0"/>
          <w:sz w:val="20"/>
          <w:lang w:val="en-GB"/>
        </w:rPr>
        <w:t>4</w:t>
      </w:r>
      <w:r w:rsidR="00D12216">
        <w:rPr>
          <w:b w:val="0"/>
          <w:sz w:val="20"/>
          <w:lang w:val="en-GB"/>
        </w:rPr>
        <w:t>33</w:t>
      </w:r>
    </w:p>
    <w:p w14:paraId="3AD14E25" w14:textId="62EC2295" w:rsidR="007672CE" w:rsidRDefault="007672CE" w:rsidP="006157E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sz w:val="20"/>
          <w:lang w:val="en-GB"/>
        </w:rPr>
      </w:pPr>
      <w:r w:rsidRPr="00553D80">
        <w:rPr>
          <w:b w:val="0"/>
          <w:noProof/>
          <w:sz w:val="20"/>
          <w:lang w:val="en-GB"/>
        </w:rPr>
        <w:t xml:space="preserve">Rec. ITU-R </w:t>
      </w:r>
      <w:r w:rsidRPr="007672CE">
        <w:rPr>
          <w:b w:val="0"/>
          <w:noProof/>
          <w:sz w:val="20"/>
          <w:lang w:val="en-GB"/>
        </w:rPr>
        <w:t>M.2013</w:t>
      </w:r>
      <w:r w:rsidR="0080545A">
        <w:rPr>
          <w:b w:val="0"/>
          <w:noProof/>
          <w:sz w:val="20"/>
          <w:lang w:val="en-GB"/>
        </w:rPr>
        <w:t>-0</w:t>
      </w:r>
      <w:r w:rsidRPr="00553D80">
        <w:rPr>
          <w:b w:val="0"/>
          <w:noProof/>
          <w:sz w:val="20"/>
          <w:lang w:val="en-GB"/>
        </w:rPr>
        <w:tab/>
      </w:r>
      <w:r w:rsidRPr="007672CE">
        <w:rPr>
          <w:b w:val="0"/>
          <w:sz w:val="20"/>
          <w:lang w:val="en-GB"/>
        </w:rPr>
        <w:t>Technical characteristics of, and protection cri</w:t>
      </w:r>
      <w:r>
        <w:rPr>
          <w:b w:val="0"/>
          <w:sz w:val="20"/>
          <w:lang w:val="en-GB"/>
        </w:rPr>
        <w:t xml:space="preserve">teria for non-ICAO aeronautical </w:t>
      </w:r>
      <w:r w:rsidRPr="007672CE">
        <w:rPr>
          <w:b w:val="0"/>
          <w:sz w:val="20"/>
          <w:lang w:val="en-GB"/>
        </w:rPr>
        <w:t>radionavigation systems, operating around 1 GHz</w:t>
      </w:r>
      <w:r w:rsidRPr="00553D80">
        <w:rPr>
          <w:b w:val="0"/>
          <w:sz w:val="20"/>
          <w:lang w:val="en-GB"/>
        </w:rPr>
        <w:tab/>
      </w:r>
      <w:r w:rsidRPr="00553D80">
        <w:rPr>
          <w:b w:val="0"/>
          <w:sz w:val="20"/>
          <w:lang w:val="en-GB"/>
        </w:rPr>
        <w:tab/>
      </w:r>
      <w:r w:rsidR="00660342">
        <w:rPr>
          <w:b w:val="0"/>
          <w:sz w:val="20"/>
          <w:lang w:val="en-GB"/>
        </w:rPr>
        <w:t>4</w:t>
      </w:r>
      <w:r w:rsidR="00D12216">
        <w:rPr>
          <w:b w:val="0"/>
          <w:sz w:val="20"/>
          <w:lang w:val="en-GB"/>
        </w:rPr>
        <w:t>37</w:t>
      </w:r>
    </w:p>
    <w:p w14:paraId="0AAFB990" w14:textId="139255BC" w:rsidR="00C81EB9" w:rsidRDefault="00C81EB9" w:rsidP="002C60F5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80545A">
        <w:rPr>
          <w:b w:val="0"/>
          <w:noProof/>
          <w:sz w:val="20"/>
          <w:lang w:val="en-GB"/>
        </w:rPr>
        <w:t>Rec. ITU-R RS.</w:t>
      </w:r>
      <w:r w:rsidRPr="0080545A">
        <w:rPr>
          <w:b w:val="0"/>
          <w:sz w:val="20"/>
          <w:lang w:val="en-GB"/>
        </w:rPr>
        <w:t>206</w:t>
      </w:r>
      <w:r>
        <w:rPr>
          <w:b w:val="0"/>
          <w:sz w:val="20"/>
          <w:lang w:val="en-GB"/>
        </w:rPr>
        <w:t>5</w:t>
      </w:r>
      <w:r w:rsidRPr="0080545A">
        <w:rPr>
          <w:b w:val="0"/>
          <w:noProof/>
          <w:sz w:val="20"/>
          <w:lang w:val="en-GB"/>
        </w:rPr>
        <w:t>-0</w:t>
      </w:r>
      <w:r>
        <w:rPr>
          <w:b w:val="0"/>
          <w:noProof/>
          <w:sz w:val="20"/>
          <w:lang w:val="en-GB"/>
        </w:rPr>
        <w:tab/>
      </w:r>
      <w:r w:rsidRPr="0080545A">
        <w:rPr>
          <w:b w:val="0"/>
          <w:noProof/>
          <w:sz w:val="20"/>
          <w:lang w:val="en-GB"/>
        </w:rPr>
        <w:t>Protection of space research service (SRS) space-to-Earth links in the 8 400</w:t>
      </w:r>
      <w:r w:rsidR="006157E6">
        <w:rPr>
          <w:b w:val="0"/>
          <w:noProof/>
          <w:sz w:val="20"/>
          <w:lang w:val="en-GB"/>
        </w:rPr>
        <w:noBreakHyphen/>
      </w:r>
      <w:r w:rsidRPr="0080545A">
        <w:rPr>
          <w:b w:val="0"/>
          <w:noProof/>
          <w:sz w:val="20"/>
          <w:lang w:val="en-GB"/>
        </w:rPr>
        <w:t>8 450 MHz and 8 450-8 500 MHz bands from unwanted emissions of synthetic aperture radars operating in the Earth exploration-satellite service (active) around 9 600 MHz</w:t>
      </w:r>
      <w:r w:rsidR="006157E6">
        <w:rPr>
          <w:b w:val="0"/>
          <w:noProof/>
          <w:sz w:val="20"/>
          <w:lang w:val="en-GB"/>
        </w:rPr>
        <w:tab/>
      </w:r>
      <w:r w:rsidR="006157E6"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447</w:t>
      </w:r>
    </w:p>
    <w:p w14:paraId="126E6DCE" w14:textId="1F69216C" w:rsidR="002C60F5" w:rsidRDefault="002C60F5" w:rsidP="002C60F5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80545A">
        <w:rPr>
          <w:b w:val="0"/>
          <w:noProof/>
          <w:sz w:val="20"/>
          <w:lang w:val="en-GB"/>
        </w:rPr>
        <w:t>Rec. ITU-R RS.</w:t>
      </w:r>
      <w:r w:rsidRPr="0080545A">
        <w:rPr>
          <w:b w:val="0"/>
          <w:sz w:val="20"/>
          <w:lang w:val="en-GB"/>
        </w:rPr>
        <w:t>2066</w:t>
      </w:r>
      <w:r w:rsidRPr="0080545A">
        <w:rPr>
          <w:b w:val="0"/>
          <w:noProof/>
          <w:sz w:val="20"/>
          <w:lang w:val="en-GB"/>
        </w:rPr>
        <w:t>-0</w:t>
      </w:r>
      <w:r w:rsidRPr="0080545A">
        <w:rPr>
          <w:b w:val="0"/>
          <w:noProof/>
          <w:sz w:val="20"/>
          <w:lang w:val="en-GB"/>
        </w:rPr>
        <w:tab/>
        <w:t>Protection of the radio astronomy service in the frequency band 10.6-10.7 GHz from unwanted emissions of synthetic aperture radars operating in the Earth exploration-satellite service (active) around 9 600 MHz</w:t>
      </w:r>
      <w:r>
        <w:rPr>
          <w:b w:val="0"/>
          <w:noProof/>
          <w:sz w:val="20"/>
          <w:lang w:val="en-GB"/>
        </w:rPr>
        <w:tab/>
      </w:r>
      <w:r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455</w:t>
      </w:r>
    </w:p>
    <w:p w14:paraId="62740405" w14:textId="3EBAAEB1" w:rsidR="00310B36" w:rsidRDefault="00310B36" w:rsidP="00310B36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noProof/>
          <w:sz w:val="20"/>
          <w:lang w:val="en-GB"/>
        </w:rPr>
      </w:pPr>
      <w:r w:rsidRPr="0080545A">
        <w:rPr>
          <w:b w:val="0"/>
          <w:noProof/>
          <w:sz w:val="20"/>
          <w:lang w:val="en-GB"/>
        </w:rPr>
        <w:t>Rec. ITU-R S.</w:t>
      </w:r>
      <w:r w:rsidRPr="0080545A">
        <w:rPr>
          <w:b w:val="0"/>
          <w:sz w:val="20"/>
          <w:lang w:val="en-GB"/>
        </w:rPr>
        <w:t>2</w:t>
      </w:r>
      <w:r>
        <w:rPr>
          <w:b w:val="0"/>
          <w:sz w:val="20"/>
          <w:lang w:val="en-GB"/>
        </w:rPr>
        <w:t>157-0</w:t>
      </w:r>
      <w:r w:rsidRPr="0080545A">
        <w:rPr>
          <w:b w:val="0"/>
          <w:noProof/>
          <w:sz w:val="20"/>
          <w:lang w:val="en-GB"/>
        </w:rPr>
        <w:tab/>
      </w:r>
      <w:r w:rsidRPr="00310B36">
        <w:rPr>
          <w:b w:val="0"/>
          <w:noProof/>
          <w:sz w:val="20"/>
          <w:lang w:val="en-GB"/>
        </w:rPr>
        <w:t>Procedures for the evaluation of interference from any non-geostationary-satellite system into a global set of the generic geostationary-satellite reference links in the frequency bands 37.5-39.5 GHz (space-to-Earth), 39.5-42.5 GHz (space-to-Earth), 47.2-50.2 GHz (Earth-to-space) and 50.4-51.4 GHz (Earth-to-space)</w:t>
      </w:r>
      <w:r>
        <w:rPr>
          <w:b w:val="0"/>
          <w:noProof/>
          <w:sz w:val="20"/>
          <w:lang w:val="en-GB"/>
        </w:rPr>
        <w:tab/>
      </w:r>
      <w:r>
        <w:rPr>
          <w:b w:val="0"/>
          <w:noProof/>
          <w:sz w:val="20"/>
          <w:lang w:val="en-GB"/>
        </w:rPr>
        <w:tab/>
      </w:r>
      <w:r w:rsidR="00D12216">
        <w:rPr>
          <w:b w:val="0"/>
          <w:noProof/>
          <w:sz w:val="20"/>
          <w:lang w:val="en-GB"/>
        </w:rPr>
        <w:t>463</w:t>
      </w:r>
    </w:p>
    <w:p w14:paraId="31773CEC" w14:textId="06ED0159" w:rsidR="00754FC9" w:rsidRPr="00754FC9" w:rsidRDefault="00754FC9" w:rsidP="002F2229">
      <w:pPr>
        <w:pStyle w:val="TOC1"/>
        <w:keepNext w:val="0"/>
        <w:tabs>
          <w:tab w:val="clear" w:pos="8505"/>
          <w:tab w:val="clear" w:pos="9356"/>
          <w:tab w:val="left" w:pos="2268"/>
          <w:tab w:val="center" w:leader="dot" w:pos="9078"/>
          <w:tab w:val="right" w:pos="9730"/>
        </w:tabs>
        <w:spacing w:before="120"/>
        <w:ind w:left="2268" w:right="284" w:hanging="2268"/>
        <w:rPr>
          <w:b w:val="0"/>
          <w:sz w:val="20"/>
          <w:lang w:val="en-GB"/>
        </w:rPr>
      </w:pPr>
      <w:r w:rsidRPr="00754FC9">
        <w:rPr>
          <w:b w:val="0"/>
          <w:sz w:val="20"/>
          <w:lang w:val="en-GB"/>
        </w:rPr>
        <w:t>Cross-reference list of the regulatory provisions, including footnotes and Resolutions, incorporating ITU</w:t>
      </w:r>
      <w:r w:rsidR="002F2229">
        <w:rPr>
          <w:b w:val="0"/>
          <w:sz w:val="20"/>
          <w:lang w:val="en-GB"/>
        </w:rPr>
        <w:t>-</w:t>
      </w:r>
      <w:r w:rsidRPr="00754FC9">
        <w:rPr>
          <w:b w:val="0"/>
          <w:sz w:val="20"/>
          <w:lang w:val="en-GB"/>
        </w:rPr>
        <w:t>R Recommendations by reference</w:t>
      </w:r>
      <w:r w:rsidRPr="00754FC9" w:rsidDel="008A6D3A">
        <w:rPr>
          <w:b w:val="0"/>
          <w:sz w:val="20"/>
          <w:lang w:val="en-GB"/>
        </w:rPr>
        <w:t xml:space="preserve"> </w:t>
      </w:r>
      <w:r>
        <w:rPr>
          <w:b w:val="0"/>
          <w:sz w:val="20"/>
          <w:lang w:val="en-GB"/>
        </w:rPr>
        <w:tab/>
      </w:r>
      <w:r>
        <w:rPr>
          <w:b w:val="0"/>
          <w:sz w:val="20"/>
          <w:lang w:val="en-GB"/>
        </w:rPr>
        <w:tab/>
      </w:r>
      <w:r w:rsidR="00D12216">
        <w:rPr>
          <w:b w:val="0"/>
          <w:sz w:val="20"/>
          <w:lang w:val="en-GB"/>
        </w:rPr>
        <w:t>479</w:t>
      </w:r>
    </w:p>
    <w:p w14:paraId="4668EF58" w14:textId="77777777" w:rsidR="009E4159" w:rsidRPr="00553D80" w:rsidRDefault="009E4159">
      <w:pPr>
        <w:rPr>
          <w:lang w:val="en-GB"/>
        </w:rPr>
      </w:pPr>
    </w:p>
    <w:p w14:paraId="1043A75C" w14:textId="77777777" w:rsidR="00421971" w:rsidRPr="00553D80" w:rsidRDefault="00421971">
      <w:pPr>
        <w:rPr>
          <w:lang w:val="en-GB"/>
        </w:rPr>
      </w:pPr>
    </w:p>
    <w:p w14:paraId="0E7827E7" w14:textId="77777777" w:rsidR="00421971" w:rsidRPr="00553D80" w:rsidRDefault="00421971">
      <w:pPr>
        <w:rPr>
          <w:lang w:val="en-GB"/>
        </w:rPr>
      </w:pPr>
    </w:p>
    <w:p w14:paraId="329F743A" w14:textId="77777777" w:rsidR="00421971" w:rsidRPr="00553D80" w:rsidRDefault="00421971">
      <w:pPr>
        <w:rPr>
          <w:lang w:val="en-GB"/>
        </w:rPr>
      </w:pPr>
    </w:p>
    <w:p w14:paraId="2A3AAE76" w14:textId="77777777" w:rsidR="00421971" w:rsidRPr="00553D80" w:rsidRDefault="00421971">
      <w:pPr>
        <w:rPr>
          <w:lang w:val="en-GB"/>
        </w:rPr>
      </w:pPr>
    </w:p>
    <w:p w14:paraId="2843B318" w14:textId="77777777" w:rsidR="00421971" w:rsidRPr="00553D80" w:rsidRDefault="00421971">
      <w:pPr>
        <w:rPr>
          <w:lang w:val="en-GB"/>
        </w:rPr>
      </w:pPr>
    </w:p>
    <w:p w14:paraId="483A6B79" w14:textId="77777777" w:rsidR="00421971" w:rsidRPr="00553D80" w:rsidRDefault="00421971">
      <w:pPr>
        <w:rPr>
          <w:lang w:val="en-GB"/>
        </w:rPr>
      </w:pPr>
    </w:p>
    <w:p w14:paraId="0439CCF0" w14:textId="77777777" w:rsidR="00421971" w:rsidRPr="00553D80" w:rsidRDefault="00421971">
      <w:pPr>
        <w:rPr>
          <w:lang w:val="en-GB"/>
        </w:rPr>
      </w:pPr>
    </w:p>
    <w:p w14:paraId="3877CDB5" w14:textId="77777777" w:rsidR="00421971" w:rsidRPr="00553D80" w:rsidRDefault="00421971">
      <w:pPr>
        <w:rPr>
          <w:lang w:val="en-GB"/>
        </w:rPr>
      </w:pPr>
    </w:p>
    <w:p w14:paraId="223BEC13" w14:textId="77777777" w:rsidR="009E4159" w:rsidRPr="00553D80" w:rsidRDefault="009E4159">
      <w:pPr>
        <w:rPr>
          <w:lang w:val="en-GB"/>
        </w:rPr>
      </w:pPr>
    </w:p>
    <w:sectPr w:rsidR="009E4159" w:rsidRPr="00553D80" w:rsidSect="005663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7" w:h="16840" w:code="9"/>
      <w:pgMar w:top="1418" w:right="1134" w:bottom="1134" w:left="1418" w:header="720" w:footer="482" w:gutter="0"/>
      <w:pgNumType w:fmt="upperRoman" w:start="5"/>
      <w:cols w:space="720"/>
      <w:vAlign w:val="both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B7E1" w14:textId="77777777" w:rsidR="0031536D" w:rsidRDefault="0031536D">
      <w:r>
        <w:separator/>
      </w:r>
    </w:p>
  </w:endnote>
  <w:endnote w:type="continuationSeparator" w:id="0">
    <w:p w14:paraId="75FF8204" w14:textId="77777777" w:rsidR="0031536D" w:rsidRDefault="0031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9F19" w14:textId="22499EAB" w:rsidR="00D63060" w:rsidRPr="00A84EC3" w:rsidRDefault="005663F0" w:rsidP="00D63060">
    <w:pPr>
      <w:pStyle w:val="Footer"/>
      <w:jc w:val="center"/>
      <w:rPr>
        <w:b/>
        <w:bCs/>
        <w:szCs w:val="24"/>
        <w:lang w:val="en-US"/>
      </w:rPr>
    </w:pPr>
    <w:r>
      <w:rPr>
        <w:b/>
        <w:bCs/>
        <w:szCs w:val="24"/>
      </w:rPr>
      <w:t xml:space="preserve">– </w:t>
    </w:r>
    <w:r w:rsidR="00D63060" w:rsidRPr="00A84EC3">
      <w:rPr>
        <w:b/>
        <w:bCs/>
        <w:szCs w:val="24"/>
      </w:rPr>
      <w:fldChar w:fldCharType="begin"/>
    </w:r>
    <w:r w:rsidR="00D63060" w:rsidRPr="00A84EC3">
      <w:rPr>
        <w:b/>
        <w:bCs/>
        <w:szCs w:val="24"/>
      </w:rPr>
      <w:instrText xml:space="preserve"> PAGE   \* MERGEFORMAT </w:instrText>
    </w:r>
    <w:r w:rsidR="00D63060" w:rsidRPr="00A84EC3">
      <w:rPr>
        <w:b/>
        <w:bCs/>
        <w:szCs w:val="24"/>
      </w:rPr>
      <w:fldChar w:fldCharType="separate"/>
    </w:r>
    <w:r w:rsidR="002C60F5">
      <w:rPr>
        <w:b/>
        <w:bCs/>
        <w:noProof/>
        <w:szCs w:val="24"/>
      </w:rPr>
      <w:t>VI</w:t>
    </w:r>
    <w:r w:rsidR="00D63060" w:rsidRPr="00A84EC3">
      <w:rPr>
        <w:b/>
        <w:bCs/>
        <w:szCs w:val="24"/>
      </w:rPr>
      <w:fldChar w:fldCharType="end"/>
    </w:r>
    <w:r w:rsidR="00D63060" w:rsidRPr="00A84EC3">
      <w:rPr>
        <w:b/>
        <w:bCs/>
        <w:szCs w:val="24"/>
      </w:rPr>
      <w:t xml:space="preserve"> </w:t>
    </w:r>
    <w:r>
      <w:rPr>
        <w:b/>
        <w:bCs/>
        <w:szCs w:val="24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C83D" w14:textId="40955F4B" w:rsidR="00D63060" w:rsidRPr="00A84EC3" w:rsidRDefault="005663F0" w:rsidP="00D63060">
    <w:pPr>
      <w:pStyle w:val="Footer"/>
      <w:jc w:val="center"/>
      <w:rPr>
        <w:b/>
        <w:bCs/>
        <w:szCs w:val="24"/>
        <w:lang w:val="en-US"/>
      </w:rPr>
    </w:pPr>
    <w:r>
      <w:rPr>
        <w:b/>
        <w:bCs/>
        <w:szCs w:val="24"/>
      </w:rPr>
      <w:t>–</w:t>
    </w:r>
    <w:r w:rsidR="00D63060" w:rsidRPr="00A84EC3">
      <w:rPr>
        <w:b/>
        <w:bCs/>
        <w:szCs w:val="24"/>
      </w:rPr>
      <w:t xml:space="preserve"> </w:t>
    </w:r>
    <w:r w:rsidR="00D63060" w:rsidRPr="00A84EC3">
      <w:rPr>
        <w:b/>
        <w:bCs/>
        <w:szCs w:val="24"/>
      </w:rPr>
      <w:fldChar w:fldCharType="begin"/>
    </w:r>
    <w:r w:rsidR="00D63060" w:rsidRPr="00A84EC3">
      <w:rPr>
        <w:b/>
        <w:bCs/>
        <w:szCs w:val="24"/>
      </w:rPr>
      <w:instrText xml:space="preserve"> PAGE   \* MERGEFORMAT </w:instrText>
    </w:r>
    <w:r w:rsidR="00D63060" w:rsidRPr="00A84EC3">
      <w:rPr>
        <w:b/>
        <w:bCs/>
        <w:szCs w:val="24"/>
      </w:rPr>
      <w:fldChar w:fldCharType="separate"/>
    </w:r>
    <w:r w:rsidR="002C60F5">
      <w:rPr>
        <w:b/>
        <w:bCs/>
        <w:noProof/>
        <w:szCs w:val="24"/>
      </w:rPr>
      <w:t>V</w:t>
    </w:r>
    <w:r w:rsidR="00D63060" w:rsidRPr="00A84EC3">
      <w:rPr>
        <w:b/>
        <w:bCs/>
        <w:szCs w:val="24"/>
      </w:rPr>
      <w:fldChar w:fldCharType="end"/>
    </w:r>
    <w:r w:rsidR="00D63060" w:rsidRPr="00A84EC3">
      <w:rPr>
        <w:b/>
        <w:bCs/>
        <w:szCs w:val="24"/>
      </w:rPr>
      <w:t xml:space="preserve"> </w:t>
    </w:r>
    <w:r>
      <w:rPr>
        <w:b/>
        <w:bCs/>
        <w:szCs w:val="24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0819A" w14:textId="0D2CC30E" w:rsidR="00A84EC3" w:rsidRPr="005663F0" w:rsidRDefault="005663F0" w:rsidP="005663F0">
    <w:pPr>
      <w:pStyle w:val="Footer"/>
      <w:jc w:val="center"/>
      <w:rPr>
        <w:b/>
        <w:bCs/>
        <w:szCs w:val="24"/>
        <w:lang w:val="en-US"/>
      </w:rPr>
    </w:pPr>
    <w:r>
      <w:rPr>
        <w:b/>
        <w:bCs/>
        <w:szCs w:val="24"/>
      </w:rPr>
      <w:t>–</w:t>
    </w:r>
    <w:r w:rsidRPr="00A84EC3">
      <w:rPr>
        <w:b/>
        <w:bCs/>
        <w:szCs w:val="24"/>
      </w:rPr>
      <w:t xml:space="preserve"> </w:t>
    </w:r>
    <w:r w:rsidRPr="00A84EC3">
      <w:rPr>
        <w:b/>
        <w:bCs/>
        <w:szCs w:val="24"/>
      </w:rPr>
      <w:fldChar w:fldCharType="begin"/>
    </w:r>
    <w:r w:rsidRPr="00A84EC3">
      <w:rPr>
        <w:b/>
        <w:bCs/>
        <w:szCs w:val="24"/>
      </w:rPr>
      <w:instrText xml:space="preserve"> PAGE   \* MERGEFORMAT </w:instrText>
    </w:r>
    <w:r w:rsidRPr="00A84EC3">
      <w:rPr>
        <w:b/>
        <w:bCs/>
        <w:szCs w:val="24"/>
      </w:rPr>
      <w:fldChar w:fldCharType="separate"/>
    </w:r>
    <w:r>
      <w:rPr>
        <w:b/>
        <w:bCs/>
        <w:szCs w:val="24"/>
      </w:rPr>
      <w:t>VIII</w:t>
    </w:r>
    <w:r w:rsidRPr="00A84EC3">
      <w:rPr>
        <w:b/>
        <w:bCs/>
        <w:szCs w:val="24"/>
      </w:rPr>
      <w:fldChar w:fldCharType="end"/>
    </w:r>
    <w:r w:rsidRPr="00A84EC3">
      <w:rPr>
        <w:b/>
        <w:bCs/>
        <w:szCs w:val="24"/>
      </w:rPr>
      <w:t xml:space="preserve"> </w:t>
    </w:r>
    <w:r>
      <w:rPr>
        <w:b/>
        <w:bCs/>
        <w:szCs w:val="24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5FFA" w14:textId="77777777" w:rsidR="0031536D" w:rsidRDefault="0031536D">
      <w:r>
        <w:rPr>
          <w:b/>
        </w:rPr>
        <w:t>_______________</w:t>
      </w:r>
    </w:p>
  </w:footnote>
  <w:footnote w:type="continuationSeparator" w:id="0">
    <w:p w14:paraId="613C49AB" w14:textId="77777777" w:rsidR="0031536D" w:rsidRDefault="0031536D">
      <w:r>
        <w:continuationSeparator/>
      </w:r>
    </w:p>
  </w:footnote>
  <w:footnote w:id="1">
    <w:p w14:paraId="29157B37" w14:textId="77777777" w:rsidR="00553D80" w:rsidRDefault="00553D80">
      <w:pPr>
        <w:pStyle w:val="FootnoteText"/>
        <w:ind w:left="284" w:hanging="284"/>
        <w:rPr>
          <w:lang w:val="en-US"/>
        </w:rPr>
      </w:pPr>
      <w:r>
        <w:rPr>
          <w:rStyle w:val="FootnoteReference"/>
          <w:lang w:val="en-US"/>
        </w:rPr>
        <w:t>*</w:t>
      </w:r>
      <w:r>
        <w:rPr>
          <w:lang w:val="en-US"/>
        </w:rPr>
        <w:t xml:space="preserve"> </w:t>
      </w:r>
      <w:r>
        <w:rPr>
          <w:lang w:val="en-US"/>
        </w:rPr>
        <w:tab/>
        <w:t>In some of these Recommendations, which were adopted prior to 1 January 2001, the prefix “S” before the references to RR is still maintained until the concerned Recommendation is modified according to the standard procedures.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50D9" w14:textId="77777777" w:rsidR="00A84EC3" w:rsidRDefault="00A84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1D06E" w14:textId="77777777" w:rsidR="00A84EC3" w:rsidRDefault="00A84E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97CC" w14:textId="77777777" w:rsidR="00A84EC3" w:rsidRDefault="00A84E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F04"/>
    <w:rsid w:val="00046E3F"/>
    <w:rsid w:val="000934ED"/>
    <w:rsid w:val="000B34F8"/>
    <w:rsid w:val="00121796"/>
    <w:rsid w:val="0015652B"/>
    <w:rsid w:val="001F6B9D"/>
    <w:rsid w:val="00251FCF"/>
    <w:rsid w:val="002C215E"/>
    <w:rsid w:val="002C60F5"/>
    <w:rsid w:val="002F2229"/>
    <w:rsid w:val="00310B36"/>
    <w:rsid w:val="0031536D"/>
    <w:rsid w:val="0033020A"/>
    <w:rsid w:val="00364424"/>
    <w:rsid w:val="004024E5"/>
    <w:rsid w:val="00421971"/>
    <w:rsid w:val="00432ABA"/>
    <w:rsid w:val="00465B32"/>
    <w:rsid w:val="00531CE9"/>
    <w:rsid w:val="00553D80"/>
    <w:rsid w:val="005663F0"/>
    <w:rsid w:val="00584697"/>
    <w:rsid w:val="005C3028"/>
    <w:rsid w:val="005F1ECD"/>
    <w:rsid w:val="0060617A"/>
    <w:rsid w:val="006157E6"/>
    <w:rsid w:val="00660342"/>
    <w:rsid w:val="0070481A"/>
    <w:rsid w:val="00751449"/>
    <w:rsid w:val="00754FC9"/>
    <w:rsid w:val="007672CE"/>
    <w:rsid w:val="00795AF8"/>
    <w:rsid w:val="00795E91"/>
    <w:rsid w:val="007C2BDB"/>
    <w:rsid w:val="007D0893"/>
    <w:rsid w:val="007F6100"/>
    <w:rsid w:val="0080545A"/>
    <w:rsid w:val="00861D78"/>
    <w:rsid w:val="008768E1"/>
    <w:rsid w:val="00892A41"/>
    <w:rsid w:val="00944E2C"/>
    <w:rsid w:val="00962B0A"/>
    <w:rsid w:val="00973480"/>
    <w:rsid w:val="009B4E36"/>
    <w:rsid w:val="009E4159"/>
    <w:rsid w:val="009E4D91"/>
    <w:rsid w:val="009E79E0"/>
    <w:rsid w:val="009F12C0"/>
    <w:rsid w:val="00A84EC3"/>
    <w:rsid w:val="00AA20A5"/>
    <w:rsid w:val="00AD05A6"/>
    <w:rsid w:val="00B72045"/>
    <w:rsid w:val="00BA06CA"/>
    <w:rsid w:val="00BC0AD3"/>
    <w:rsid w:val="00BE7D17"/>
    <w:rsid w:val="00C12DB5"/>
    <w:rsid w:val="00C567B4"/>
    <w:rsid w:val="00C81EB9"/>
    <w:rsid w:val="00C85226"/>
    <w:rsid w:val="00D04F04"/>
    <w:rsid w:val="00D12216"/>
    <w:rsid w:val="00D63060"/>
    <w:rsid w:val="00D930A4"/>
    <w:rsid w:val="00E52D77"/>
    <w:rsid w:val="00E84194"/>
    <w:rsid w:val="00FF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EBC59"/>
  <w15:docId w15:val="{74DD5509-F812-469C-BA8C-716C3684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" w:hAnsi="Times New Roman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clear" w:pos="2268"/>
      </w:tabs>
      <w:spacing w:before="60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480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spacing w:before="36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3"/>
    <w:next w:val="Normal"/>
    <w:qFormat/>
    <w:pPr>
      <w:outlineLvl w:val="4"/>
    </w:pPr>
  </w:style>
  <w:style w:type="paragraph" w:styleId="Heading6">
    <w:name w:val="heading 6"/>
    <w:basedOn w:val="Heading3"/>
    <w:next w:val="Normal"/>
    <w:qFormat/>
    <w:pPr>
      <w:outlineLvl w:val="5"/>
    </w:pPr>
  </w:style>
  <w:style w:type="paragraph" w:styleId="Heading7">
    <w:name w:val="heading 7"/>
    <w:basedOn w:val="Heading3"/>
    <w:next w:val="Normal"/>
    <w:qFormat/>
    <w:pPr>
      <w:outlineLvl w:val="6"/>
    </w:pPr>
  </w:style>
  <w:style w:type="paragraph" w:styleId="Heading8">
    <w:name w:val="heading 8"/>
    <w:basedOn w:val="Heading3"/>
    <w:next w:val="Normal"/>
    <w:qFormat/>
    <w:pPr>
      <w:outlineLvl w:val="7"/>
    </w:pPr>
  </w:style>
  <w:style w:type="paragraph" w:styleId="Heading9">
    <w:name w:val="heading 9"/>
    <w:basedOn w:val="Heading3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semiHidden/>
    <w:rPr>
      <w:vertAlign w:val="superscript"/>
    </w:rPr>
  </w:style>
  <w:style w:type="paragraph" w:styleId="TOC8">
    <w:name w:val="toc 8"/>
    <w:basedOn w:val="Normal"/>
    <w:next w:val="Normal"/>
    <w:semiHidden/>
    <w:pPr>
      <w:tabs>
        <w:tab w:val="left" w:pos="7711"/>
        <w:tab w:val="right" w:leader="dot" w:pos="9725"/>
      </w:tabs>
      <w:ind w:left="6350"/>
    </w:pPr>
  </w:style>
  <w:style w:type="paragraph" w:styleId="TOC7">
    <w:name w:val="toc 7"/>
    <w:basedOn w:val="Normal"/>
    <w:next w:val="Normal"/>
    <w:semiHidden/>
    <w:pPr>
      <w:tabs>
        <w:tab w:val="left" w:pos="6350"/>
        <w:tab w:val="right" w:leader="dot" w:pos="9725"/>
      </w:tabs>
      <w:ind w:left="5103"/>
    </w:pPr>
  </w:style>
  <w:style w:type="paragraph" w:styleId="TOC6">
    <w:name w:val="toc 6"/>
    <w:basedOn w:val="TOC4"/>
    <w:next w:val="Normal"/>
    <w:semiHidden/>
    <w:pPr>
      <w:ind w:left="3913"/>
    </w:pPr>
  </w:style>
  <w:style w:type="paragraph" w:styleId="TOC4">
    <w:name w:val="toc 4"/>
    <w:basedOn w:val="TOC3"/>
    <w:next w:val="Normal"/>
    <w:semiHidden/>
    <w:pPr>
      <w:tabs>
        <w:tab w:val="clear" w:pos="2268"/>
      </w:tabs>
      <w:spacing w:before="80"/>
      <w:ind w:left="3119" w:hanging="851"/>
    </w:pPr>
  </w:style>
  <w:style w:type="paragraph" w:styleId="TOC3">
    <w:name w:val="toc 3"/>
    <w:basedOn w:val="TOC2"/>
    <w:next w:val="Normal"/>
    <w:semiHidden/>
    <w:pPr>
      <w:tabs>
        <w:tab w:val="clear" w:pos="1985"/>
        <w:tab w:val="left" w:pos="2268"/>
      </w:tabs>
      <w:ind w:left="2268" w:hanging="2268"/>
    </w:pPr>
  </w:style>
  <w:style w:type="paragraph" w:styleId="TOC2">
    <w:name w:val="toc 2"/>
    <w:basedOn w:val="TOC1"/>
    <w:next w:val="Normal"/>
    <w:semiHidden/>
    <w:pPr>
      <w:keepNext w:val="0"/>
      <w:keepLines/>
      <w:tabs>
        <w:tab w:val="clear" w:pos="9356"/>
        <w:tab w:val="left" w:pos="1985"/>
        <w:tab w:val="right" w:pos="9355"/>
      </w:tabs>
      <w:spacing w:before="160"/>
      <w:ind w:left="1985" w:hanging="1985"/>
    </w:pPr>
    <w:rPr>
      <w:b w:val="0"/>
      <w:sz w:val="24"/>
    </w:rPr>
  </w:style>
  <w:style w:type="paragraph" w:styleId="TOC1">
    <w:name w:val="toc 1"/>
    <w:basedOn w:val="Normal"/>
    <w:next w:val="Normal"/>
    <w:semiHidden/>
    <w:pPr>
      <w:keepNext/>
      <w:tabs>
        <w:tab w:val="clear" w:pos="1134"/>
        <w:tab w:val="clear" w:pos="1871"/>
        <w:tab w:val="clear" w:pos="2268"/>
        <w:tab w:val="right" w:leader="dot" w:pos="8505"/>
        <w:tab w:val="right" w:pos="9356"/>
      </w:tabs>
      <w:spacing w:before="480"/>
      <w:ind w:left="567" w:right="851" w:hanging="567"/>
    </w:pPr>
    <w:rPr>
      <w:b/>
      <w:sz w:val="28"/>
    </w:rPr>
  </w:style>
  <w:style w:type="paragraph" w:styleId="TOC5">
    <w:name w:val="toc 5"/>
    <w:basedOn w:val="TOC3"/>
    <w:next w:val="Normal"/>
    <w:semiHidden/>
    <w:pPr>
      <w:tabs>
        <w:tab w:val="clear" w:pos="2268"/>
        <w:tab w:val="left" w:pos="3062"/>
      </w:tabs>
      <w:ind w:left="3062" w:hanging="3062"/>
    </w:pPr>
  </w:style>
  <w:style w:type="paragraph" w:styleId="Index1">
    <w:name w:val="index 1"/>
    <w:basedOn w:val="Normal"/>
    <w:next w:val="Normal"/>
    <w:semiHidden/>
  </w:style>
  <w:style w:type="paragraph" w:styleId="Footer">
    <w:name w:val="footer"/>
    <w:basedOn w:val="Normal"/>
    <w:link w:val="FooterChar"/>
    <w:uiPriority w:val="99"/>
    <w:pPr>
      <w:tabs>
        <w:tab w:val="left" w:pos="567"/>
        <w:tab w:val="center" w:pos="3742"/>
        <w:tab w:val="right" w:pos="6974"/>
      </w:tabs>
    </w:pPr>
  </w:style>
  <w:style w:type="paragraph" w:styleId="Header">
    <w:name w:val="header"/>
    <w:basedOn w:val="Normal"/>
    <w:pPr>
      <w:tabs>
        <w:tab w:val="clear" w:pos="1134"/>
        <w:tab w:val="clear" w:pos="1871"/>
        <w:tab w:val="clear" w:pos="2268"/>
        <w:tab w:val="center" w:pos="4678"/>
        <w:tab w:val="right" w:pos="9356"/>
      </w:tabs>
      <w:spacing w:before="0"/>
    </w:pPr>
    <w:rPr>
      <w:b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tabs>
        <w:tab w:val="clear" w:pos="1134"/>
        <w:tab w:val="clear" w:pos="1871"/>
        <w:tab w:val="clear" w:pos="2268"/>
        <w:tab w:val="left" w:pos="284"/>
        <w:tab w:val="left" w:pos="1418"/>
      </w:tabs>
      <w:spacing w:before="60"/>
    </w:pPr>
    <w:rPr>
      <w:sz w:val="20"/>
    </w:rPr>
  </w:style>
  <w:style w:type="paragraph" w:styleId="NormalIndent">
    <w:name w:val="Normal Indent"/>
    <w:basedOn w:val="Normal"/>
    <w:pPr>
      <w:spacing w:before="120"/>
      <w:ind w:left="1134"/>
    </w:pPr>
  </w:style>
  <w:style w:type="paragraph" w:customStyle="1" w:styleId="Tablelegend">
    <w:name w:val="Table_legend"/>
    <w:basedOn w:val="Tabletext"/>
    <w:next w:val="Normal"/>
    <w:pPr>
      <w:keepNext/>
      <w:tabs>
        <w:tab w:val="left" w:pos="284"/>
        <w:tab w:val="left" w:pos="567"/>
        <w:tab w:val="left" w:pos="851"/>
        <w:tab w:val="left" w:pos="1134"/>
      </w:tabs>
      <w:spacing w:before="120" w:after="0"/>
    </w:pPr>
  </w:style>
  <w:style w:type="paragraph" w:customStyle="1" w:styleId="Tabletext">
    <w:name w:val="Table_text"/>
    <w:basedOn w:val="Normal"/>
    <w:pPr>
      <w:tabs>
        <w:tab w:val="clear" w:pos="1134"/>
        <w:tab w:val="clear" w:pos="1871"/>
        <w:tab w:val="clear" w:pos="2268"/>
      </w:tabs>
      <w:spacing w:before="40" w:after="40"/>
    </w:pPr>
    <w:rPr>
      <w:sz w:val="20"/>
    </w:rPr>
  </w:style>
  <w:style w:type="paragraph" w:customStyle="1" w:styleId="Tabletitle">
    <w:name w:val="Table_title"/>
    <w:basedOn w:val="TableNo"/>
    <w:next w:val="Tabletext"/>
    <w:pPr>
      <w:spacing w:before="0"/>
    </w:pPr>
    <w:rPr>
      <w:b/>
    </w:rPr>
  </w:style>
  <w:style w:type="paragraph" w:customStyle="1" w:styleId="TableNo">
    <w:name w:val="Table_No"/>
    <w:basedOn w:val="Normal"/>
    <w:next w:val="Tabletitle"/>
    <w:pPr>
      <w:keepNext/>
      <w:tabs>
        <w:tab w:val="clear" w:pos="1134"/>
        <w:tab w:val="clear" w:pos="1871"/>
        <w:tab w:val="clear" w:pos="2268"/>
      </w:tabs>
      <w:spacing w:before="360" w:after="120"/>
      <w:jc w:val="center"/>
    </w:pPr>
    <w:rPr>
      <w:sz w:val="20"/>
    </w:rPr>
  </w:style>
  <w:style w:type="paragraph" w:customStyle="1" w:styleId="enumlev1">
    <w:name w:val="enumlev1"/>
    <w:basedOn w:val="Normal"/>
    <w:pPr>
      <w:tabs>
        <w:tab w:val="clear" w:pos="2268"/>
        <w:tab w:val="left" w:pos="2608"/>
        <w:tab w:val="left" w:pos="3345"/>
      </w:tabs>
      <w:spacing w:before="120"/>
      <w:ind w:left="454" w:hanging="454"/>
    </w:pPr>
  </w:style>
  <w:style w:type="paragraph" w:customStyle="1" w:styleId="enumlev2">
    <w:name w:val="enumlev2"/>
    <w:basedOn w:val="enumlev1"/>
    <w:pPr>
      <w:tabs>
        <w:tab w:val="left" w:pos="907"/>
      </w:tabs>
      <w:ind w:left="908"/>
    </w:pPr>
  </w:style>
  <w:style w:type="paragraph" w:customStyle="1" w:styleId="enumlev3">
    <w:name w:val="enumlev3"/>
    <w:basedOn w:val="enumlev2"/>
    <w:pPr>
      <w:tabs>
        <w:tab w:val="clear" w:pos="1134"/>
        <w:tab w:val="clear" w:pos="1871"/>
        <w:tab w:val="clear" w:pos="2608"/>
        <w:tab w:val="left" w:pos="1361"/>
      </w:tabs>
      <w:ind w:left="1361"/>
    </w:pPr>
  </w:style>
  <w:style w:type="paragraph" w:customStyle="1" w:styleId="Figure">
    <w:name w:val="Figure"/>
    <w:basedOn w:val="Normal"/>
    <w:pPr>
      <w:keepNext/>
      <w:keepLines/>
      <w:jc w:val="center"/>
    </w:pPr>
  </w:style>
  <w:style w:type="paragraph" w:customStyle="1" w:styleId="Figurelegend">
    <w:name w:val="Figure_legend"/>
    <w:basedOn w:val="Tablelegend"/>
    <w:next w:val="FigureNo"/>
  </w:style>
  <w:style w:type="paragraph" w:customStyle="1" w:styleId="FigureNo">
    <w:name w:val="Figure_No"/>
    <w:basedOn w:val="TableNo"/>
    <w:next w:val="Figuretitle"/>
  </w:style>
  <w:style w:type="paragraph" w:customStyle="1" w:styleId="Figuretitle">
    <w:name w:val="Figure_title"/>
    <w:basedOn w:val="Tabletitle"/>
    <w:next w:val="Normal"/>
    <w:pPr>
      <w:spacing w:after="720"/>
    </w:pPr>
  </w:style>
  <w:style w:type="paragraph" w:customStyle="1" w:styleId="AnnexNo">
    <w:name w:val="Annex_No"/>
    <w:basedOn w:val="ArtNo"/>
    <w:next w:val="Annexref"/>
  </w:style>
  <w:style w:type="paragraph" w:customStyle="1" w:styleId="ArtNo">
    <w:name w:val="Art_No"/>
    <w:basedOn w:val="Normal"/>
    <w:next w:val="Arttitle"/>
    <w:pPr>
      <w:keepNext/>
      <w:keepLines/>
      <w:spacing w:before="720"/>
      <w:jc w:val="center"/>
    </w:pPr>
    <w:rPr>
      <w:sz w:val="28"/>
    </w:rPr>
  </w:style>
  <w:style w:type="paragraph" w:customStyle="1" w:styleId="Arttitle">
    <w:name w:val="Art_title"/>
    <w:next w:val="Normalaftertitle"/>
    <w:pPr>
      <w:keepNext/>
      <w:keepLines/>
      <w:overflowPunct w:val="0"/>
      <w:autoSpaceDE w:val="0"/>
      <w:autoSpaceDN w:val="0"/>
      <w:adjustRightInd w:val="0"/>
      <w:spacing w:before="160" w:after="80"/>
      <w:jc w:val="center"/>
      <w:textAlignment w:val="baseline"/>
    </w:pPr>
    <w:rPr>
      <w:rFonts w:ascii="Times New Roman" w:hAnsi="Times New Roman"/>
      <w:b/>
      <w:noProof/>
      <w:sz w:val="28"/>
      <w:lang w:eastAsia="en-US"/>
    </w:rPr>
  </w:style>
  <w:style w:type="paragraph" w:customStyle="1" w:styleId="Normalaftertitle">
    <w:name w:val="Normal after title"/>
    <w:basedOn w:val="Normal"/>
    <w:next w:val="Normal"/>
    <w:pPr>
      <w:spacing w:before="360"/>
    </w:pPr>
  </w:style>
  <w:style w:type="paragraph" w:customStyle="1" w:styleId="Annexref">
    <w:name w:val="Annex_ref"/>
    <w:basedOn w:val="Normal"/>
    <w:pPr>
      <w:jc w:val="center"/>
    </w:pPr>
  </w:style>
  <w:style w:type="paragraph" w:customStyle="1" w:styleId="Annextitle">
    <w:name w:val="Annex_title"/>
    <w:basedOn w:val="Arttitle"/>
    <w:next w:val="Normal"/>
    <w:pPr>
      <w:spacing w:after="0"/>
    </w:pPr>
  </w:style>
  <w:style w:type="paragraph" w:customStyle="1" w:styleId="AppendixNo">
    <w:name w:val="Appendix_No"/>
    <w:basedOn w:val="ArtNo"/>
    <w:next w:val="Appendixtitle"/>
  </w:style>
  <w:style w:type="paragraph" w:customStyle="1" w:styleId="Appendixtitle">
    <w:name w:val="Appendix_title"/>
    <w:basedOn w:val="Arttitle"/>
    <w:next w:val="Normal"/>
  </w:style>
  <w:style w:type="paragraph" w:customStyle="1" w:styleId="headfoot">
    <w:name w:val="head_foot"/>
    <w:basedOn w:val="Normal"/>
    <w:next w:val="Normalaftertitle"/>
    <w:pPr>
      <w:spacing w:before="0"/>
    </w:pPr>
    <w:rPr>
      <w:color w:val="0000FF"/>
      <w:sz w:val="20"/>
    </w:rPr>
  </w:style>
  <w:style w:type="paragraph" w:customStyle="1" w:styleId="Appendixref">
    <w:name w:val="Appendix_ref"/>
    <w:basedOn w:val="Annexref"/>
    <w:next w:val="Appendixtitle"/>
  </w:style>
  <w:style w:type="paragraph" w:customStyle="1" w:styleId="Reftitle">
    <w:name w:val="Ref_title"/>
    <w:basedOn w:val="Normal"/>
    <w:next w:val="Reftext"/>
    <w:pPr>
      <w:spacing w:before="480"/>
      <w:jc w:val="left"/>
    </w:pPr>
    <w:rPr>
      <w:b/>
    </w:rPr>
  </w:style>
  <w:style w:type="paragraph" w:customStyle="1" w:styleId="Reftext">
    <w:name w:val="Ref_text"/>
    <w:basedOn w:val="Normal"/>
  </w:style>
  <w:style w:type="paragraph" w:customStyle="1" w:styleId="listitem">
    <w:name w:val="listitem"/>
    <w:basedOn w:val="Normal"/>
    <w:pPr>
      <w:keepLines/>
      <w:spacing w:before="0"/>
      <w:jc w:val="left"/>
    </w:pPr>
  </w:style>
  <w:style w:type="paragraph" w:customStyle="1" w:styleId="Border">
    <w:name w:val="Border"/>
    <w:basedOn w:val="Tabletext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  <w:lang w:val="en-US"/>
    </w:rPr>
  </w:style>
  <w:style w:type="paragraph" w:customStyle="1" w:styleId="Signcountry">
    <w:name w:val="Sign_country"/>
    <w:basedOn w:val="Normal"/>
    <w:next w:val="Signpart"/>
    <w:pPr>
      <w:keepNext/>
      <w:keepLines/>
      <w:spacing w:after="57"/>
      <w:jc w:val="left"/>
    </w:pPr>
    <w:rPr>
      <w:b/>
    </w:rPr>
  </w:style>
  <w:style w:type="paragraph" w:customStyle="1" w:styleId="Signpart">
    <w:name w:val="Sign_part"/>
    <w:basedOn w:val="Signcountry"/>
    <w:pPr>
      <w:keepNext w:val="0"/>
      <w:keepLines w:val="0"/>
      <w:spacing w:before="0"/>
      <w:ind w:left="284"/>
    </w:pPr>
    <w:rPr>
      <w:b w:val="0"/>
      <w:smallCaps/>
    </w:rPr>
  </w:style>
  <w:style w:type="paragraph" w:customStyle="1" w:styleId="ChapNo">
    <w:name w:val="Chap_No"/>
    <w:basedOn w:val="ArtNo"/>
    <w:next w:val="Chaptitle"/>
    <w:pPr>
      <w:spacing w:before="1200"/>
    </w:pPr>
    <w:rPr>
      <w:sz w:val="32"/>
    </w:rPr>
  </w:style>
  <w:style w:type="paragraph" w:customStyle="1" w:styleId="Chaptitle">
    <w:name w:val="Chap_title"/>
    <w:basedOn w:val="Arttitle"/>
    <w:next w:val="ArtNo"/>
    <w:rPr>
      <w:sz w:val="32"/>
    </w:rPr>
  </w:style>
  <w:style w:type="paragraph" w:customStyle="1" w:styleId="Protfin">
    <w:name w:val="Prot_fin"/>
    <w:basedOn w:val="Normal"/>
    <w:next w:val="Normalaftertitle"/>
    <w:pPr>
      <w:pageBreakBefore/>
      <w:spacing w:before="720" w:after="240"/>
      <w:jc w:val="center"/>
    </w:pPr>
    <w:rPr>
      <w:b/>
    </w:rPr>
  </w:style>
  <w:style w:type="paragraph" w:customStyle="1" w:styleId="ProtNo">
    <w:name w:val="Prot_No"/>
    <w:basedOn w:val="Normal"/>
    <w:next w:val="Protlang"/>
    <w:pPr>
      <w:keepNext/>
      <w:jc w:val="center"/>
    </w:pPr>
  </w:style>
  <w:style w:type="paragraph" w:customStyle="1" w:styleId="Protlang">
    <w:name w:val="Prot_lang"/>
    <w:basedOn w:val="ProtNo"/>
    <w:next w:val="Protpays"/>
    <w:pPr>
      <w:keepLines/>
      <w:framePr w:hSpace="181" w:vSpace="181" w:wrap="auto" w:hAnchor="text" w:xAlign="right"/>
      <w:spacing w:before="0"/>
      <w:jc w:val="right"/>
    </w:pPr>
    <w:rPr>
      <w:i/>
      <w:sz w:val="18"/>
    </w:rPr>
  </w:style>
  <w:style w:type="paragraph" w:customStyle="1" w:styleId="Protpays">
    <w:name w:val="Prot_pays"/>
    <w:basedOn w:val="Protlang"/>
    <w:next w:val="headfoot"/>
    <w:pPr>
      <w:framePr w:wrap="auto"/>
      <w:spacing w:before="113" w:line="199" w:lineRule="exact"/>
      <w:jc w:val="left"/>
    </w:pPr>
  </w:style>
  <w:style w:type="paragraph" w:customStyle="1" w:styleId="Prottexte">
    <w:name w:val="Prot_texte"/>
    <w:basedOn w:val="Protlang"/>
    <w:pPr>
      <w:keepNext w:val="0"/>
      <w:keepLines w:val="0"/>
      <w:framePr w:wrap="auto"/>
      <w:spacing w:before="113" w:line="199" w:lineRule="exact"/>
      <w:jc w:val="both"/>
    </w:pPr>
    <w:rPr>
      <w:i w:val="0"/>
    </w:rPr>
  </w:style>
  <w:style w:type="paragraph" w:customStyle="1" w:styleId="Protcall">
    <w:name w:val="Prot_call"/>
    <w:basedOn w:val="Prottexte"/>
    <w:next w:val="Prottexte"/>
    <w:pPr>
      <w:keepNext/>
      <w:keepLines/>
      <w:framePr w:wrap="auto" w:xAlign="left"/>
      <w:spacing w:before="170"/>
      <w:ind w:left="794"/>
      <w:jc w:val="left"/>
    </w:pPr>
    <w:rPr>
      <w:i/>
    </w:rPr>
  </w:style>
  <w:style w:type="paragraph" w:customStyle="1" w:styleId="ResNo">
    <w:name w:val="Res_No"/>
    <w:basedOn w:val="ArtNo"/>
    <w:next w:val="Restitle"/>
  </w:style>
  <w:style w:type="paragraph" w:customStyle="1" w:styleId="Restitle">
    <w:name w:val="Res_title"/>
    <w:basedOn w:val="Arttitle"/>
    <w:next w:val="headfoot"/>
    <w:pPr>
      <w:spacing w:after="120"/>
    </w:pPr>
  </w:style>
  <w:style w:type="paragraph" w:customStyle="1" w:styleId="RecNo">
    <w:name w:val="Rec_No"/>
    <w:basedOn w:val="ResNo"/>
    <w:next w:val="Rectitle"/>
  </w:style>
  <w:style w:type="paragraph" w:customStyle="1" w:styleId="Rectitle">
    <w:name w:val="Rec_title"/>
    <w:basedOn w:val="Restitle"/>
    <w:next w:val="headfoot"/>
  </w:style>
  <w:style w:type="paragraph" w:customStyle="1" w:styleId="Equation">
    <w:name w:val="Equation"/>
    <w:basedOn w:val="Normal"/>
    <w:pPr>
      <w:tabs>
        <w:tab w:val="clear" w:pos="1871"/>
        <w:tab w:val="clear" w:pos="2268"/>
        <w:tab w:val="center" w:pos="4678"/>
        <w:tab w:val="right" w:pos="9356"/>
      </w:tabs>
      <w:jc w:val="left"/>
    </w:pPr>
  </w:style>
  <w:style w:type="paragraph" w:customStyle="1" w:styleId="Note">
    <w:name w:val="Note"/>
    <w:basedOn w:val="Normal"/>
    <w:pPr>
      <w:tabs>
        <w:tab w:val="left" w:pos="284"/>
      </w:tabs>
      <w:spacing w:before="160"/>
    </w:pPr>
    <w:rPr>
      <w:sz w:val="20"/>
    </w:rPr>
  </w:style>
  <w:style w:type="paragraph" w:customStyle="1" w:styleId="Section1">
    <w:name w:val="Section_1"/>
    <w:basedOn w:val="Normal"/>
    <w:pPr>
      <w:tabs>
        <w:tab w:val="clear" w:pos="1134"/>
        <w:tab w:val="clear" w:pos="1871"/>
        <w:tab w:val="clear" w:pos="2268"/>
        <w:tab w:val="center" w:pos="4678"/>
      </w:tabs>
      <w:spacing w:before="360"/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Tablefin">
    <w:name w:val="Table_fin"/>
    <w:basedOn w:val="Normal"/>
    <w:pPr>
      <w:tabs>
        <w:tab w:val="clear" w:pos="1134"/>
      </w:tabs>
      <w:spacing w:before="0"/>
    </w:pPr>
    <w:rPr>
      <w:sz w:val="12"/>
    </w:rPr>
  </w:style>
  <w:style w:type="paragraph" w:customStyle="1" w:styleId="MEP">
    <w:name w:val="MEP"/>
    <w:basedOn w:val="Normal"/>
  </w:style>
  <w:style w:type="character" w:customStyle="1" w:styleId="Tablefreq">
    <w:name w:val="Table_freq"/>
    <w:rPr>
      <w:color w:val="FFCC00"/>
    </w:rPr>
  </w:style>
  <w:style w:type="paragraph" w:customStyle="1" w:styleId="TableTextS5">
    <w:name w:val="Table_TextS5"/>
    <w:basedOn w:val="Normal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jc w:val="left"/>
    </w:pPr>
    <w:rPr>
      <w:sz w:val="20"/>
    </w:rPr>
  </w:style>
  <w:style w:type="character" w:customStyle="1" w:styleId="href">
    <w:name w:val="href"/>
    <w:basedOn w:val="DefaultParagraphFont"/>
  </w:style>
  <w:style w:type="paragraph" w:customStyle="1" w:styleId="Section2">
    <w:name w:val="Section_2"/>
    <w:basedOn w:val="Section1"/>
    <w:pPr>
      <w:jc w:val="left"/>
    </w:pPr>
    <w:rPr>
      <w:b w:val="0"/>
      <w:i/>
    </w:rPr>
  </w:style>
  <w:style w:type="paragraph" w:customStyle="1" w:styleId="Section3">
    <w:name w:val="Section_3"/>
    <w:basedOn w:val="Section1"/>
    <w:rPr>
      <w:b w:val="0"/>
    </w:rPr>
  </w:style>
  <w:style w:type="character" w:customStyle="1" w:styleId="Artref">
    <w:name w:val="Art_ref"/>
    <w:rPr>
      <w:color w:val="3366FF"/>
    </w:rPr>
  </w:style>
  <w:style w:type="character" w:customStyle="1" w:styleId="Artdef">
    <w:name w:val="Art_def"/>
    <w:rPr>
      <w:b/>
      <w:color w:val="FFCC00"/>
    </w:rPr>
  </w:style>
  <w:style w:type="paragraph" w:customStyle="1" w:styleId="Equationlegend">
    <w:name w:val="Equation_legend"/>
    <w:basedOn w:val="NormalIndent"/>
  </w:style>
  <w:style w:type="paragraph" w:customStyle="1" w:styleId="Call">
    <w:name w:val="Call"/>
    <w:basedOn w:val="Normal"/>
    <w:next w:val="Normal"/>
    <w:pPr>
      <w:tabs>
        <w:tab w:val="clear" w:pos="1871"/>
        <w:tab w:val="clear" w:pos="2268"/>
      </w:tabs>
      <w:spacing w:before="360"/>
      <w:ind w:left="1134"/>
    </w:pPr>
    <w:rPr>
      <w:i/>
    </w:rPr>
  </w:style>
  <w:style w:type="paragraph" w:customStyle="1" w:styleId="Headingb">
    <w:name w:val="Heading_b"/>
    <w:basedOn w:val="Heading3"/>
    <w:pPr>
      <w:spacing w:before="400"/>
      <w:ind w:left="0" w:firstLine="0"/>
      <w:outlineLvl w:val="9"/>
    </w:pPr>
  </w:style>
  <w:style w:type="paragraph" w:customStyle="1" w:styleId="Tablehead">
    <w:name w:val="Table_head"/>
    <w:basedOn w:val="Tabletext"/>
    <w:next w:val="Tabletext"/>
    <w:pPr>
      <w:spacing w:before="80" w:after="80"/>
      <w:jc w:val="center"/>
    </w:pPr>
    <w:rPr>
      <w:b/>
    </w:rPr>
  </w:style>
  <w:style w:type="character" w:customStyle="1" w:styleId="Appdef">
    <w:name w:val="App_def"/>
    <w:rPr>
      <w:b/>
      <w:color w:val="FFCC00"/>
    </w:rPr>
  </w:style>
  <w:style w:type="character" w:customStyle="1" w:styleId="Appref">
    <w:name w:val="App_ref"/>
    <w:rPr>
      <w:color w:val="3366FF"/>
    </w:rPr>
  </w:style>
  <w:style w:type="character" w:customStyle="1" w:styleId="Recdef">
    <w:name w:val="Rec_def"/>
    <w:rPr>
      <w:b/>
      <w:color w:val="FFCC00"/>
    </w:rPr>
  </w:style>
  <w:style w:type="character" w:customStyle="1" w:styleId="Recref">
    <w:name w:val="Rec_ref"/>
    <w:rPr>
      <w:color w:val="3366FF"/>
    </w:rPr>
  </w:style>
  <w:style w:type="character" w:customStyle="1" w:styleId="Resdef">
    <w:name w:val="Res_def"/>
    <w:rPr>
      <w:b/>
      <w:color w:val="FFCC00"/>
    </w:rPr>
  </w:style>
  <w:style w:type="character" w:customStyle="1" w:styleId="Resref">
    <w:name w:val="Res_ref"/>
    <w:rPr>
      <w:color w:val="3366FF"/>
    </w:rPr>
  </w:style>
  <w:style w:type="paragraph" w:customStyle="1" w:styleId="Headingi">
    <w:name w:val="Heading_i"/>
    <w:basedOn w:val="Headingb"/>
    <w:rPr>
      <w:b w:val="0"/>
      <w:i/>
    </w:rPr>
  </w:style>
  <w:style w:type="paragraph" w:customStyle="1" w:styleId="TableNote">
    <w:name w:val="TableNote"/>
    <w:basedOn w:val="Tabletext"/>
  </w:style>
  <w:style w:type="character" w:customStyle="1" w:styleId="Tableref">
    <w:name w:val="Table_ref"/>
    <w:rPr>
      <w:color w:val="3366FF"/>
    </w:rPr>
  </w:style>
  <w:style w:type="paragraph" w:styleId="BalloonText">
    <w:name w:val="Balloon Text"/>
    <w:basedOn w:val="Normal"/>
    <w:link w:val="BalloonTextChar"/>
    <w:rsid w:val="009E4D91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4D91"/>
    <w:rPr>
      <w:rFonts w:ascii="Tahoma" w:hAnsi="Tahoma" w:cs="Tahoma"/>
      <w:sz w:val="16"/>
      <w:szCs w:val="16"/>
      <w:lang w:val="fr-FR" w:eastAsia="en-US"/>
    </w:rPr>
  </w:style>
  <w:style w:type="character" w:customStyle="1" w:styleId="FooterChar">
    <w:name w:val="Footer Char"/>
    <w:link w:val="Footer"/>
    <w:uiPriority w:val="99"/>
    <w:rsid w:val="00D63060"/>
    <w:rPr>
      <w:rFonts w:ascii="Times New Roman" w:hAnsi="Times New Roman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R_20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RR_2004.dot</Template>
  <TotalTime>458</TotalTime>
  <Pages>3</Pages>
  <Words>1029</Words>
  <Characters>6055</Characters>
  <Application>Microsoft Office Word</Application>
  <DocSecurity>0</DocSecurity>
  <Lines>87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Règlement Radio:  Articles, Appendices, Résolutions + Recommandations</vt:lpstr>
    </vt:vector>
  </TitlesOfParts>
  <Manager>CP--3344/DD</Manager>
  <Company>ITU</Company>
  <LinksUpToDate>false</LinksUpToDate>
  <CharactersWithSpaces>7067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Radio:  Articles, Appendices, Résolutions + Recommandations</dc:title>
  <dc:subject>RR2008</dc:subject>
  <dc:creator>Composition des Publications</dc:creator>
  <cp:keywords>ATTENTION:  Custom - header à modifier</cp:keywords>
  <dc:description>Reprise (2004) + Saisie + MEP: 01.05.2008/DD_x000d_
Corr. ":    06.05.2008/DD</dc:description>
  <cp:lastModifiedBy>Gachet, Christelle</cp:lastModifiedBy>
  <cp:revision>29</cp:revision>
  <cp:lastPrinted>2024-06-07T08:49:00Z</cp:lastPrinted>
  <dcterms:created xsi:type="dcterms:W3CDTF">2012-07-02T12:58:00Z</dcterms:created>
  <dcterms:modified xsi:type="dcterms:W3CDTF">2024-06-12T13:54:00Z</dcterms:modified>
  <cp:category>Folios 1-4 (blanc)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Header2">
    <vt:lpwstr>AP</vt:lpwstr>
  </property>
  <property fmtid="{D5CDD505-2E9C-101B-9397-08002B2CF9AE}" pid="4" name="Header3">
    <vt:lpwstr>RES</vt:lpwstr>
  </property>
  <property fmtid="{D5CDD505-2E9C-101B-9397-08002B2CF9AE}" pid="5" name="Header3a">
    <vt:lpwstr>REC</vt:lpwstr>
  </property>
</Properties>
</file>