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ED7" w:rsidRDefault="00FD0884">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Pr>
          <w:rStyle w:val="href"/>
          <w:lang w:val="en-US"/>
        </w:rPr>
        <w:t>1084-</w:t>
      </w:r>
      <w:r w:rsidR="006071D1">
        <w:rPr>
          <w:rStyle w:val="href"/>
          <w:lang w:val="en-US"/>
        </w:rPr>
        <w:t>5</w:t>
      </w:r>
      <w:r>
        <w:rPr>
          <w:rStyle w:val="FootnoteReference"/>
          <w:lang w:val="en-US"/>
        </w:rPr>
        <w:footnoteReference w:customMarkFollows="1" w:id="1"/>
        <w:t>*</w:t>
      </w:r>
      <w:r w:rsidRPr="00FD0884">
        <w:rPr>
          <w:position w:val="8"/>
          <w:sz w:val="18"/>
          <w:lang w:val="en-US"/>
        </w:rPr>
        <w:t xml:space="preserve">, </w:t>
      </w:r>
      <w:r>
        <w:rPr>
          <w:rStyle w:val="FootnoteReference"/>
          <w:lang w:val="en-US"/>
        </w:rPr>
        <w:footnoteReference w:customMarkFollows="1" w:id="2"/>
        <w:t>**</w:t>
      </w:r>
    </w:p>
    <w:p w:rsidR="00FD0884" w:rsidRDefault="00FD0884" w:rsidP="00FD0884">
      <w:pPr>
        <w:pStyle w:val="Rectitle"/>
        <w:rPr>
          <w:lang w:val="en-US"/>
        </w:rPr>
      </w:pPr>
      <w:bookmarkStart w:id="1" w:name="Pre_title"/>
      <w:r>
        <w:rPr>
          <w:lang w:val="en-US"/>
        </w:rPr>
        <w:t>Interim solutions for improved efficiency in the use of the band</w:t>
      </w:r>
      <w:r>
        <w:rPr>
          <w:lang w:val="en-US"/>
        </w:rPr>
        <w:br/>
        <w:t>156-174 MHz by stations in the maritime mobile service</w:t>
      </w:r>
      <w:bookmarkEnd w:id="1"/>
    </w:p>
    <w:p w:rsidR="003E487D" w:rsidRDefault="003E487D" w:rsidP="00FD0884">
      <w:pPr>
        <w:pStyle w:val="Recdate"/>
        <w:rPr>
          <w:lang w:val="en-US"/>
        </w:rPr>
      </w:pPr>
      <w:bookmarkStart w:id="2" w:name="Revision_history"/>
    </w:p>
    <w:p w:rsidR="00FD0884" w:rsidRPr="00107624" w:rsidRDefault="00FD0884" w:rsidP="00FD0884">
      <w:pPr>
        <w:pStyle w:val="Recdate"/>
        <w:rPr>
          <w:lang w:val="en-US"/>
        </w:rPr>
      </w:pPr>
      <w:r>
        <w:rPr>
          <w:lang w:val="en-US"/>
        </w:rPr>
        <w:t>(1994-1995-1997-1998-2001</w:t>
      </w:r>
      <w:r w:rsidR="006071D1">
        <w:rPr>
          <w:lang w:val="en-US"/>
        </w:rPr>
        <w:t>-2012</w:t>
      </w:r>
      <w:r>
        <w:rPr>
          <w:lang w:val="en-US"/>
        </w:rPr>
        <w:t>)</w:t>
      </w:r>
      <w:bookmarkEnd w:id="2"/>
    </w:p>
    <w:p w:rsidR="003E487D" w:rsidRDefault="003E487D" w:rsidP="003E487D">
      <w:pPr>
        <w:rPr>
          <w:lang w:val="en-US"/>
        </w:rPr>
      </w:pPr>
    </w:p>
    <w:p w:rsidR="00FD0884" w:rsidRPr="00DD41E4" w:rsidRDefault="00FD0884" w:rsidP="003E487D">
      <w:pPr>
        <w:pStyle w:val="HeadingSum"/>
        <w:rPr>
          <w:rFonts w:ascii="Times New Roman Bold" w:hAnsi="Times New Roman Bold" w:cs="Times New Roman Bold"/>
          <w:szCs w:val="22"/>
          <w:lang w:val="en-US"/>
        </w:rPr>
      </w:pPr>
      <w:r w:rsidRPr="00DD41E4">
        <w:rPr>
          <w:rFonts w:ascii="Times New Roman Bold" w:hAnsi="Times New Roman Bold" w:cs="Times New Roman Bold"/>
          <w:szCs w:val="22"/>
          <w:lang w:val="en-US"/>
        </w:rPr>
        <w:t>Scope</w:t>
      </w:r>
    </w:p>
    <w:p w:rsidR="003E487D" w:rsidRPr="008C5168" w:rsidRDefault="006071D1" w:rsidP="00DD41E4">
      <w:pPr>
        <w:pStyle w:val="Summary"/>
        <w:rPr>
          <w:lang w:val="en-US"/>
        </w:rPr>
      </w:pPr>
      <w:r w:rsidRPr="008C5168">
        <w:rPr>
          <w:rFonts w:eastAsia="MS Mincho"/>
          <w:lang w:val="en-US" w:eastAsia="ja-JP"/>
        </w:rPr>
        <w:t>This Recommendation provides ways to improve efficiency in the used of the band 156</w:t>
      </w:r>
      <w:r w:rsidRPr="008C5168">
        <w:rPr>
          <w:rFonts w:eastAsia="MS Mincho"/>
          <w:lang w:val="en-US" w:eastAsia="ja-JP"/>
        </w:rPr>
        <w:noBreakHyphen/>
        <w:t>174 MHz by stations in the maritime mobile service; specifically describes technical characteristics when using channels spaced by 12.5 kHz, migration to narrow-band channels, an example method for implementing interleaved narrow-band channels at 12.5 kHz offset spacing and assignment of channels numbers to interleaved channels and simplex operation of duplex channels.</w:t>
      </w:r>
    </w:p>
    <w:p w:rsidR="00FD0884" w:rsidRDefault="00FD0884" w:rsidP="00FD0884">
      <w:pPr>
        <w:pStyle w:val="Normalaftertitle"/>
        <w:rPr>
          <w:lang w:val="en-US"/>
        </w:rPr>
      </w:pPr>
      <w:r>
        <w:rPr>
          <w:lang w:val="en-US"/>
        </w:rPr>
        <w:t>The ITU Radiocommunication Assembly,</w:t>
      </w:r>
    </w:p>
    <w:p w:rsidR="00FD0884" w:rsidRDefault="00FD0884" w:rsidP="00FD0884">
      <w:pPr>
        <w:pStyle w:val="Call"/>
        <w:rPr>
          <w:lang w:val="en-US"/>
        </w:rPr>
      </w:pPr>
      <w:r>
        <w:rPr>
          <w:lang w:val="en-US"/>
        </w:rPr>
        <w:t>considering</w:t>
      </w:r>
    </w:p>
    <w:p w:rsidR="00FD0884" w:rsidRDefault="006071D1" w:rsidP="00FD0884">
      <w:pPr>
        <w:rPr>
          <w:lang w:val="en-US"/>
        </w:rPr>
      </w:pPr>
      <w:r>
        <w:rPr>
          <w:lang w:val="en-US"/>
        </w:rPr>
        <w:t>a</w:t>
      </w:r>
      <w:r w:rsidR="00FD0884">
        <w:rPr>
          <w:lang w:val="en-US"/>
        </w:rPr>
        <w:t>)</w:t>
      </w:r>
      <w:r w:rsidR="00FD0884">
        <w:rPr>
          <w:lang w:val="en-US"/>
        </w:rPr>
        <w:tab/>
        <w:t>that a common international system is essential for maritime communications to ensure the safety of life at sea;</w:t>
      </w:r>
    </w:p>
    <w:p w:rsidR="00FD0884" w:rsidRDefault="006071D1">
      <w:pPr>
        <w:rPr>
          <w:lang w:val="en-US"/>
        </w:rPr>
      </w:pPr>
      <w:r>
        <w:rPr>
          <w:lang w:val="en-US"/>
        </w:rPr>
        <w:t>b</w:t>
      </w:r>
      <w:r w:rsidR="00FD0884">
        <w:rPr>
          <w:lang w:val="en-US"/>
        </w:rPr>
        <w:t>)</w:t>
      </w:r>
      <w:r w:rsidR="00FD0884">
        <w:rPr>
          <w:lang w:val="en-US"/>
        </w:rPr>
        <w:tab/>
        <w:t xml:space="preserve">that the greatest long-term benefits in spectrum efficiency </w:t>
      </w:r>
      <w:r>
        <w:rPr>
          <w:lang w:val="en-US"/>
        </w:rPr>
        <w:t>are</w:t>
      </w:r>
      <w:r w:rsidR="00FD0884">
        <w:rPr>
          <w:lang w:val="en-US"/>
        </w:rPr>
        <w:t xml:space="preserve"> gained by using the latest digital or narrow</w:t>
      </w:r>
      <w:r w:rsidR="00FD0884">
        <w:rPr>
          <w:lang w:val="en-US"/>
        </w:rPr>
        <w:noBreakHyphen/>
        <w:t>band transmission techniques;</w:t>
      </w:r>
    </w:p>
    <w:p w:rsidR="00FD0884" w:rsidRDefault="006071D1">
      <w:pPr>
        <w:rPr>
          <w:lang w:val="en-US"/>
        </w:rPr>
      </w:pPr>
      <w:r>
        <w:rPr>
          <w:lang w:val="en-US"/>
        </w:rPr>
        <w:t>c</w:t>
      </w:r>
      <w:r w:rsidR="00FD0884">
        <w:rPr>
          <w:lang w:val="en-US"/>
        </w:rPr>
        <w:t>)</w:t>
      </w:r>
      <w:r w:rsidR="00FD0884">
        <w:rPr>
          <w:lang w:val="en-US"/>
        </w:rPr>
        <w:tab/>
        <w:t xml:space="preserve">that the introduction of new technology or replanning of frequency bands </w:t>
      </w:r>
      <w:r>
        <w:rPr>
          <w:lang w:val="en-US"/>
        </w:rPr>
        <w:t>is</w:t>
      </w:r>
      <w:r w:rsidR="00FD0884">
        <w:rPr>
          <w:lang w:val="en-US"/>
        </w:rPr>
        <w:t xml:space="preserve"> a significant exercise involving a long period of transition;</w:t>
      </w:r>
    </w:p>
    <w:p w:rsidR="00FD0884" w:rsidRDefault="006071D1">
      <w:pPr>
        <w:rPr>
          <w:lang w:val="en-US"/>
        </w:rPr>
      </w:pPr>
      <w:r>
        <w:rPr>
          <w:lang w:val="en-US"/>
        </w:rPr>
        <w:t>d</w:t>
      </w:r>
      <w:r w:rsidR="00FD0884">
        <w:rPr>
          <w:lang w:val="en-US"/>
        </w:rPr>
        <w:t>)</w:t>
      </w:r>
      <w:r w:rsidR="00FD0884">
        <w:rPr>
          <w:lang w:val="en-US"/>
        </w:rPr>
        <w:tab/>
        <w:t>that any new equipment needs to be compatible or be able to co-exist with existing equipment conforming to Recommendation ITU</w:t>
      </w:r>
      <w:r w:rsidR="00FD0884">
        <w:rPr>
          <w:lang w:val="en-US"/>
        </w:rPr>
        <w:noBreakHyphen/>
        <w:t>R M.489;</w:t>
      </w:r>
    </w:p>
    <w:p w:rsidR="00FD0884" w:rsidRDefault="006071D1" w:rsidP="00FD0884">
      <w:pPr>
        <w:rPr>
          <w:lang w:val="en-US"/>
        </w:rPr>
      </w:pPr>
      <w:r>
        <w:rPr>
          <w:lang w:val="en-US"/>
        </w:rPr>
        <w:t>e</w:t>
      </w:r>
      <w:r w:rsidR="00FD0884">
        <w:rPr>
          <w:lang w:val="en-US"/>
        </w:rPr>
        <w:t>)</w:t>
      </w:r>
      <w:r w:rsidR="00FD0884">
        <w:rPr>
          <w:lang w:val="en-US"/>
        </w:rPr>
        <w:tab/>
        <w:t>that the introduction of new technology should not interrupt the continuous availability of RR Appendix 18 maritime mobile distress and safety communications in the VHF bands for all users;</w:t>
      </w:r>
    </w:p>
    <w:p w:rsidR="00FD0884" w:rsidRDefault="006071D1" w:rsidP="00FD0884">
      <w:pPr>
        <w:rPr>
          <w:lang w:val="en-US"/>
        </w:rPr>
      </w:pPr>
      <w:r>
        <w:rPr>
          <w:lang w:val="en-US"/>
        </w:rPr>
        <w:t>f</w:t>
      </w:r>
      <w:r w:rsidR="00FD0884">
        <w:rPr>
          <w:lang w:val="en-US"/>
        </w:rPr>
        <w:t>)</w:t>
      </w:r>
      <w:r w:rsidR="00FD0884">
        <w:rPr>
          <w:lang w:val="en-US"/>
        </w:rPr>
        <w:tab/>
        <w:t>that congestion in the VHF maritime mobile band has become a serious problem in some parts of the world and is continuing to grow;</w:t>
      </w:r>
    </w:p>
    <w:p w:rsidR="00FD0884" w:rsidRDefault="006071D1" w:rsidP="00FD0884">
      <w:pPr>
        <w:rPr>
          <w:lang w:val="en-US"/>
        </w:rPr>
      </w:pPr>
      <w:r>
        <w:rPr>
          <w:lang w:val="en-US"/>
        </w:rPr>
        <w:t>g</w:t>
      </w:r>
      <w:r w:rsidR="00FD0884">
        <w:rPr>
          <w:lang w:val="en-US"/>
        </w:rPr>
        <w:t>)</w:t>
      </w:r>
      <w:r w:rsidR="00FD0884">
        <w:rPr>
          <w:lang w:val="en-US"/>
        </w:rPr>
        <w:tab/>
        <w:t>that because of this need administrations may decide to take measures to solve their local congestion problem;</w:t>
      </w:r>
    </w:p>
    <w:p w:rsidR="00FD0884" w:rsidRDefault="006071D1">
      <w:pPr>
        <w:rPr>
          <w:lang w:val="en-US"/>
        </w:rPr>
      </w:pPr>
      <w:r>
        <w:rPr>
          <w:lang w:val="en-US"/>
        </w:rPr>
        <w:lastRenderedPageBreak/>
        <w:t>h</w:t>
      </w:r>
      <w:r w:rsidR="00FD0884">
        <w:rPr>
          <w:lang w:val="en-US"/>
        </w:rPr>
        <w:t>)</w:t>
      </w:r>
      <w:r w:rsidR="00FD0884">
        <w:rPr>
          <w:lang w:val="en-US"/>
        </w:rPr>
        <w:tab/>
        <w:t>that RR Appendix 18 makes provision for administrations to apply 12.5 kHz channel interleaving</w:t>
      </w:r>
      <w:r w:rsidR="00801E05">
        <w:rPr>
          <w:lang w:val="en-US"/>
        </w:rPr>
        <w:t>,</w:t>
      </w:r>
      <w:r w:rsidR="00FD0884">
        <w:rPr>
          <w:lang w:val="en-US"/>
        </w:rPr>
        <w:t xml:space="preserve"> </w:t>
      </w:r>
      <w:r w:rsidR="00801E05" w:rsidRPr="000A0A53">
        <w:rPr>
          <w:lang w:val="en-US"/>
        </w:rPr>
        <w:t>subject to coordination with affected administrations</w:t>
      </w:r>
      <w:r w:rsidR="00FD0884">
        <w:rPr>
          <w:lang w:val="en-US"/>
        </w:rPr>
        <w:t>;</w:t>
      </w:r>
    </w:p>
    <w:p w:rsidR="00FD0884" w:rsidRDefault="00801E05">
      <w:pPr>
        <w:rPr>
          <w:lang w:val="en-US"/>
        </w:rPr>
      </w:pPr>
      <w:r>
        <w:rPr>
          <w:lang w:val="en-US"/>
        </w:rPr>
        <w:t>j</w:t>
      </w:r>
      <w:r w:rsidR="00FD0884">
        <w:rPr>
          <w:lang w:val="en-US"/>
        </w:rPr>
        <w:t>)</w:t>
      </w:r>
      <w:r w:rsidR="00FD0884">
        <w:rPr>
          <w:lang w:val="en-US"/>
        </w:rPr>
        <w:tab/>
        <w:t>that the implementation of 12.5 kHz channels require</w:t>
      </w:r>
      <w:r>
        <w:rPr>
          <w:lang w:val="en-US"/>
        </w:rPr>
        <w:t>s</w:t>
      </w:r>
      <w:r w:rsidR="00FD0884">
        <w:rPr>
          <w:lang w:val="en-US"/>
        </w:rPr>
        <w:t xml:space="preserve"> a standard channel numbering plan;</w:t>
      </w:r>
    </w:p>
    <w:p w:rsidR="00FD0884" w:rsidRDefault="00801E05">
      <w:pPr>
        <w:rPr>
          <w:lang w:val="en-US"/>
        </w:rPr>
      </w:pPr>
      <w:r>
        <w:rPr>
          <w:lang w:val="en-US"/>
        </w:rPr>
        <w:t>k</w:t>
      </w:r>
      <w:r w:rsidR="00FD0884">
        <w:rPr>
          <w:lang w:val="en-US"/>
        </w:rPr>
        <w:t>)</w:t>
      </w:r>
      <w:r w:rsidR="00FD0884">
        <w:rPr>
          <w:lang w:val="en-US"/>
        </w:rPr>
        <w:tab/>
        <w:t xml:space="preserve">that </w:t>
      </w:r>
      <w:r>
        <w:rPr>
          <w:lang w:val="en-US"/>
        </w:rPr>
        <w:t xml:space="preserve">some </w:t>
      </w:r>
      <w:r w:rsidR="00FD0884">
        <w:rPr>
          <w:lang w:val="en-US"/>
        </w:rPr>
        <w:t xml:space="preserve">administrations </w:t>
      </w:r>
      <w:r>
        <w:rPr>
          <w:lang w:val="en-US"/>
        </w:rPr>
        <w:t>have</w:t>
      </w:r>
      <w:r w:rsidR="00FD0884">
        <w:rPr>
          <w:lang w:val="en-US"/>
        </w:rPr>
        <w:t xml:space="preserve"> implement</w:t>
      </w:r>
      <w:r>
        <w:rPr>
          <w:lang w:val="en-US"/>
        </w:rPr>
        <w:t>ed</w:t>
      </w:r>
      <w:r w:rsidR="00FD0884">
        <w:rPr>
          <w:lang w:val="en-US"/>
        </w:rPr>
        <w:t xml:space="preserve"> single frequency operation of two frequency channels as a means of alleviating current congestion;</w:t>
      </w:r>
    </w:p>
    <w:p w:rsidR="00FD0884" w:rsidRDefault="00801E05">
      <w:pPr>
        <w:rPr>
          <w:lang w:val="en-US"/>
        </w:rPr>
      </w:pPr>
      <w:r>
        <w:rPr>
          <w:lang w:val="en-US"/>
        </w:rPr>
        <w:t>l</w:t>
      </w:r>
      <w:r w:rsidR="00FD0884">
        <w:rPr>
          <w:lang w:val="en-US"/>
        </w:rPr>
        <w:t>)</w:t>
      </w:r>
      <w:r w:rsidR="00FD0884">
        <w:rPr>
          <w:lang w:val="en-US"/>
        </w:rPr>
        <w:tab/>
        <w:t>that these interim solutions are used by the standard automatic identification system developed in accordance with Recommendation ITU</w:t>
      </w:r>
      <w:r w:rsidR="00FD0884">
        <w:rPr>
          <w:lang w:val="en-US"/>
        </w:rPr>
        <w:noBreakHyphen/>
        <w:t>R M.1371 to meet IMO vessel carriage requirements,</w:t>
      </w:r>
    </w:p>
    <w:p w:rsidR="00FD0884" w:rsidRDefault="00FD0884" w:rsidP="00FD0884">
      <w:pPr>
        <w:pStyle w:val="Call"/>
        <w:rPr>
          <w:lang w:val="en-US"/>
        </w:rPr>
      </w:pPr>
      <w:r>
        <w:rPr>
          <w:lang w:val="en-US"/>
        </w:rPr>
        <w:t>recommends</w:t>
      </w:r>
    </w:p>
    <w:p w:rsidR="00FD0884" w:rsidRDefault="00FD0884" w:rsidP="00FD0884">
      <w:pPr>
        <w:rPr>
          <w:lang w:val="en-US"/>
        </w:rPr>
      </w:pPr>
      <w:r>
        <w:rPr>
          <w:b/>
          <w:lang w:val="en-US"/>
        </w:rPr>
        <w:t>1</w:t>
      </w:r>
      <w:r>
        <w:rPr>
          <w:b/>
          <w:lang w:val="en-US"/>
        </w:rPr>
        <w:tab/>
      </w:r>
      <w:r>
        <w:rPr>
          <w:lang w:val="en-US"/>
        </w:rPr>
        <w:t>that administrations having an urgent need to resolve congestion, should implement single frequency operation of two frequency channels as an interim expedient measure;</w:t>
      </w:r>
    </w:p>
    <w:p w:rsidR="00FD0884" w:rsidRDefault="00FD0884" w:rsidP="00C249B0">
      <w:pPr>
        <w:rPr>
          <w:lang w:val="en-US"/>
        </w:rPr>
      </w:pPr>
      <w:r>
        <w:rPr>
          <w:b/>
          <w:lang w:val="en-US"/>
        </w:rPr>
        <w:t>2</w:t>
      </w:r>
      <w:r>
        <w:rPr>
          <w:lang w:val="en-US"/>
        </w:rPr>
        <w:tab/>
        <w:t xml:space="preserve">that, for administrations having an urgent need to resolve congestion, changing to 12.5 kHz analogue frequency modulation (FM) as an interim expedient </w:t>
      </w:r>
      <w:r w:rsidR="00801E05">
        <w:rPr>
          <w:lang w:val="en-US"/>
        </w:rPr>
        <w:t xml:space="preserve">may </w:t>
      </w:r>
      <w:r>
        <w:rPr>
          <w:lang w:val="en-US"/>
        </w:rPr>
        <w:t xml:space="preserve">be </w:t>
      </w:r>
      <w:r w:rsidR="00801E05">
        <w:rPr>
          <w:lang w:val="en-US"/>
        </w:rPr>
        <w:t xml:space="preserve">used </w:t>
      </w:r>
      <w:r>
        <w:rPr>
          <w:lang w:val="en-US"/>
        </w:rPr>
        <w:t>to improv</w:t>
      </w:r>
      <w:r w:rsidR="00C249B0">
        <w:rPr>
          <w:lang w:val="en-US"/>
        </w:rPr>
        <w:t>e</w:t>
      </w:r>
      <w:r>
        <w:rPr>
          <w:lang w:val="en-US"/>
        </w:rPr>
        <w:t xml:space="preserve"> spectrum utilization but </w:t>
      </w:r>
      <w:r w:rsidR="00801E05">
        <w:rPr>
          <w:lang w:val="en-US"/>
        </w:rPr>
        <w:t>should consider the</w:t>
      </w:r>
      <w:r>
        <w:rPr>
          <w:lang w:val="en-US"/>
        </w:rPr>
        <w:t xml:space="preserve"> impact on current operations, especially where it involved international shipping using 25 kHz channel spacing;</w:t>
      </w:r>
    </w:p>
    <w:p w:rsidR="00FD0884" w:rsidRDefault="00FD0884" w:rsidP="00FD0884">
      <w:pPr>
        <w:rPr>
          <w:lang w:val="en-US"/>
        </w:rPr>
      </w:pPr>
      <w:r>
        <w:rPr>
          <w:b/>
          <w:lang w:val="en-US"/>
        </w:rPr>
        <w:t>3</w:t>
      </w:r>
      <w:r>
        <w:rPr>
          <w:lang w:val="en-US"/>
        </w:rPr>
        <w:tab/>
        <w:t xml:space="preserve">that administrations, when employing 12.5 kHz analogue FM channels as an interim measure, should </w:t>
      </w:r>
      <w:r w:rsidR="00801E05">
        <w:rPr>
          <w:lang w:val="en-US"/>
        </w:rPr>
        <w:t xml:space="preserve">take appropriate means to </w:t>
      </w:r>
      <w:r>
        <w:rPr>
          <w:lang w:val="en-US"/>
        </w:rPr>
        <w:t xml:space="preserve">avoid </w:t>
      </w:r>
      <w:r w:rsidR="00801E05">
        <w:rPr>
          <w:lang w:val="en-US"/>
        </w:rPr>
        <w:t xml:space="preserve">interference to the </w:t>
      </w:r>
      <w:r>
        <w:rPr>
          <w:lang w:val="en-US"/>
        </w:rPr>
        <w:t>distress and safety channels and channels affecting the safety of international shipping;</w:t>
      </w:r>
    </w:p>
    <w:p w:rsidR="00FD0884" w:rsidRDefault="00FD0884" w:rsidP="00FD0884">
      <w:pPr>
        <w:rPr>
          <w:lang w:val="en-US"/>
        </w:rPr>
      </w:pPr>
      <w:r>
        <w:rPr>
          <w:b/>
          <w:lang w:val="en-US"/>
        </w:rPr>
        <w:t>4</w:t>
      </w:r>
      <w:r>
        <w:rPr>
          <w:lang w:val="en-US"/>
        </w:rPr>
        <w:tab/>
        <w:t xml:space="preserve">that the interim arrangements referred to in </w:t>
      </w:r>
      <w:r>
        <w:rPr>
          <w:i/>
          <w:lang w:val="en-US"/>
        </w:rPr>
        <w:t>recommends</w:t>
      </w:r>
      <w:r>
        <w:rPr>
          <w:b/>
          <w:lang w:val="en-US"/>
        </w:rPr>
        <w:t xml:space="preserve"> </w:t>
      </w:r>
      <w:r>
        <w:rPr>
          <w:lang w:val="en-US"/>
        </w:rPr>
        <w:t>2 and 3 should not prejudice the implementation of the longer term solution resulting from the ongoing studies which may result in the use of advanced technologies and channelling of bandwidth other than 12.5 kHz;</w:t>
      </w:r>
    </w:p>
    <w:p w:rsidR="00FD0884" w:rsidRDefault="00FD0884" w:rsidP="00FD0884">
      <w:pPr>
        <w:rPr>
          <w:lang w:val="en-US"/>
        </w:rPr>
      </w:pPr>
      <w:r>
        <w:rPr>
          <w:b/>
          <w:lang w:val="en-US"/>
        </w:rPr>
        <w:t>5</w:t>
      </w:r>
      <w:r>
        <w:rPr>
          <w:lang w:val="en-US"/>
        </w:rPr>
        <w:tab/>
        <w:t xml:space="preserve">that the interim arrangements referred to in </w:t>
      </w:r>
      <w:r>
        <w:rPr>
          <w:i/>
          <w:lang w:val="en-US"/>
        </w:rPr>
        <w:t>recommends</w:t>
      </w:r>
      <w:r>
        <w:rPr>
          <w:lang w:val="en-US"/>
        </w:rPr>
        <w:t xml:space="preserve"> 2 and 3 shall not prejudice the implementation of a single international system for distress and safety communications by the international community in the longer term;</w:t>
      </w:r>
    </w:p>
    <w:p w:rsidR="00FD0884" w:rsidRDefault="00FD0884" w:rsidP="00FD0884">
      <w:pPr>
        <w:rPr>
          <w:lang w:val="en-US"/>
        </w:rPr>
      </w:pPr>
      <w:r>
        <w:rPr>
          <w:b/>
          <w:lang w:val="en-US"/>
        </w:rPr>
        <w:t>6</w:t>
      </w:r>
      <w:r>
        <w:rPr>
          <w:lang w:val="en-US"/>
        </w:rPr>
        <w:tab/>
        <w:t>that administrations intending to resolve current congestion problems through the use of narrow-band channels should consider Annex 2 as a guide to migration from 25 kHz channels to narrower bands;</w:t>
      </w:r>
    </w:p>
    <w:p w:rsidR="00FD0884" w:rsidRDefault="00FD0884" w:rsidP="00FD0884">
      <w:pPr>
        <w:rPr>
          <w:lang w:val="en-US"/>
        </w:rPr>
      </w:pPr>
      <w:r>
        <w:rPr>
          <w:b/>
          <w:lang w:val="en-US"/>
        </w:rPr>
        <w:t>7</w:t>
      </w:r>
      <w:r>
        <w:rPr>
          <w:lang w:val="en-US"/>
        </w:rPr>
        <w:tab/>
        <w:t>that administrations intending to resolve current congestion problems through the use of narrow-band channels should use equipment conforming to the technical parameters given at Annex 1, whilst taking into account the provisions of RR Appendix 18;</w:t>
      </w:r>
    </w:p>
    <w:p w:rsidR="00FD0884" w:rsidRDefault="00FD0884" w:rsidP="00FD0884">
      <w:pPr>
        <w:rPr>
          <w:lang w:val="en-US"/>
        </w:rPr>
      </w:pPr>
      <w:r>
        <w:rPr>
          <w:b/>
          <w:lang w:val="en-US"/>
        </w:rPr>
        <w:t>8</w:t>
      </w:r>
      <w:r>
        <w:rPr>
          <w:b/>
          <w:lang w:val="en-US"/>
        </w:rPr>
        <w:tab/>
      </w:r>
      <w:r>
        <w:rPr>
          <w:lang w:val="en-US"/>
        </w:rPr>
        <w:t xml:space="preserve">that administrations implementing interleaved narrow-band channels at 12.5 kHz offset spacing on an interim basis should consider Annex 3 as an example of a possible implementation method (different example </w:t>
      </w:r>
      <w:r>
        <w:rPr>
          <w:lang w:val="en-US"/>
        </w:rPr>
        <w:lastRenderedPageBreak/>
        <w:t>methods are available with other characteristics than those described in Annex 3);</w:t>
      </w:r>
    </w:p>
    <w:p w:rsidR="00FD0884" w:rsidRDefault="00FD0884" w:rsidP="00FD0884">
      <w:pPr>
        <w:rPr>
          <w:lang w:val="en-US"/>
        </w:rPr>
      </w:pPr>
      <w:r>
        <w:rPr>
          <w:b/>
          <w:lang w:val="en-US"/>
        </w:rPr>
        <w:t>9</w:t>
      </w:r>
      <w:r>
        <w:rPr>
          <w:lang w:val="en-US"/>
        </w:rPr>
        <w:tab/>
        <w:t>that administrations implementing narrow-band channels at 12.5 kHz should consider Annex 4 for numbering the new channels;</w:t>
      </w:r>
    </w:p>
    <w:p w:rsidR="00FD0884" w:rsidRDefault="00FD0884">
      <w:pPr>
        <w:rPr>
          <w:lang w:val="en-US"/>
        </w:rPr>
      </w:pPr>
      <w:r>
        <w:rPr>
          <w:b/>
          <w:lang w:val="en-US"/>
        </w:rPr>
        <w:t>10</w:t>
      </w:r>
      <w:r>
        <w:rPr>
          <w:lang w:val="en-US"/>
        </w:rPr>
        <w:tab/>
        <w:t xml:space="preserve">that administrations implementing single frequency operation of two frequency channels should consider Annex 4, </w:t>
      </w:r>
      <w:r w:rsidR="00801E05">
        <w:rPr>
          <w:lang w:val="en-US"/>
        </w:rPr>
        <w:t>§</w:t>
      </w:r>
      <w:r>
        <w:rPr>
          <w:lang w:val="en-US"/>
        </w:rPr>
        <w:t> 3, for numbering the channels;</w:t>
      </w:r>
    </w:p>
    <w:p w:rsidR="00FD0884" w:rsidRDefault="00FD0884" w:rsidP="00DD41E4">
      <w:pPr>
        <w:rPr>
          <w:lang w:val="en-US"/>
        </w:rPr>
      </w:pPr>
      <w:r>
        <w:rPr>
          <w:b/>
          <w:lang w:val="en-US"/>
        </w:rPr>
        <w:t>11</w:t>
      </w:r>
      <w:r>
        <w:rPr>
          <w:lang w:val="en-US"/>
        </w:rPr>
        <w:tab/>
        <w:t>that administrations should, as far as possible, look to the implementation of the latest digital or narrow-band techniques to meet future operational requirements and achieve the efficient use of the band 156</w:t>
      </w:r>
      <w:r w:rsidR="00DD41E4">
        <w:rPr>
          <w:lang w:val="en-US"/>
        </w:rPr>
        <w:t>-</w:t>
      </w:r>
      <w:r>
        <w:rPr>
          <w:lang w:val="en-US"/>
        </w:rPr>
        <w:t>174 MHz.</w:t>
      </w:r>
    </w:p>
    <w:p w:rsidR="00DD41E4" w:rsidRDefault="00DD41E4" w:rsidP="00FD0884">
      <w:pPr>
        <w:pStyle w:val="AnnexNo"/>
        <w:rPr>
          <w:b/>
          <w:bCs/>
          <w:lang w:val="en-US"/>
        </w:rPr>
      </w:pPr>
      <w:r>
        <w:rPr>
          <w:b/>
          <w:bCs/>
          <w:lang w:val="en-US"/>
        </w:rPr>
        <w:br w:type="page"/>
      </w:r>
    </w:p>
    <w:p w:rsidR="00FD0884" w:rsidRPr="000A0A53" w:rsidRDefault="00FD0884" w:rsidP="00FD0884">
      <w:pPr>
        <w:pStyle w:val="AnnexNo"/>
        <w:rPr>
          <w:b/>
          <w:bCs/>
          <w:lang w:val="en-US"/>
        </w:rPr>
      </w:pPr>
      <w:r w:rsidRPr="000A0A53">
        <w:rPr>
          <w:b/>
          <w:bCs/>
          <w:lang w:val="en-US"/>
        </w:rPr>
        <w:lastRenderedPageBreak/>
        <w:t>A</w:t>
      </w:r>
      <w:r w:rsidR="00801E05" w:rsidRPr="000A0A53">
        <w:rPr>
          <w:b/>
          <w:bCs/>
          <w:lang w:val="en-US"/>
        </w:rPr>
        <w:t>nnex</w:t>
      </w:r>
      <w:r w:rsidR="00DD41E4">
        <w:rPr>
          <w:b/>
          <w:bCs/>
          <w:lang w:val="en-US"/>
        </w:rPr>
        <w:t xml:space="preserve"> </w:t>
      </w:r>
      <w:r w:rsidRPr="000A0A53">
        <w:rPr>
          <w:b/>
          <w:bCs/>
          <w:lang w:val="en-US"/>
        </w:rPr>
        <w:t>1</w:t>
      </w:r>
    </w:p>
    <w:p w:rsidR="00FD0884" w:rsidRDefault="00FD0884" w:rsidP="00FD0884">
      <w:pPr>
        <w:pStyle w:val="Annextitle"/>
        <w:rPr>
          <w:lang w:val="en-US"/>
        </w:rPr>
      </w:pPr>
      <w:r>
        <w:rPr>
          <w:lang w:val="en-US"/>
        </w:rPr>
        <w:t>Technical characteristics for equipment designed to operate</w:t>
      </w:r>
      <w:r>
        <w:rPr>
          <w:lang w:val="en-US"/>
        </w:rPr>
        <w:br/>
        <w:t>in channels spaced by 12.5 kHz</w:t>
      </w:r>
    </w:p>
    <w:p w:rsidR="00FD0884" w:rsidRDefault="00FD0884" w:rsidP="00FD0884">
      <w:pPr>
        <w:pStyle w:val="Normalaftertitle"/>
        <w:rPr>
          <w:lang w:val="en-US"/>
        </w:rPr>
      </w:pPr>
      <w:r>
        <w:rPr>
          <w:lang w:val="en-US"/>
        </w:rPr>
        <w:t>Use of equipment implementing these parameters listed below (see Note 1) should only be in accordance with the provisions of RR Appendix 18:</w:t>
      </w:r>
    </w:p>
    <w:p w:rsidR="00FD0884" w:rsidRDefault="00FD0884" w:rsidP="00FD0884">
      <w:pPr>
        <w:pStyle w:val="enumlev1"/>
        <w:rPr>
          <w:lang w:val="en-US"/>
        </w:rPr>
      </w:pPr>
      <w:r>
        <w:rPr>
          <w:lang w:val="en-US"/>
        </w:rPr>
        <w:t>–</w:t>
      </w:r>
      <w:r>
        <w:rPr>
          <w:lang w:val="en-US"/>
        </w:rPr>
        <w:tab/>
        <w:t>the frequency tolerance for coast and ship station transmitters should not exceed 5 parts in 10</w:t>
      </w:r>
      <w:r>
        <w:rPr>
          <w:position w:val="6"/>
          <w:sz w:val="20"/>
          <w:lang w:val="en-US"/>
        </w:rPr>
        <w:t>6</w:t>
      </w:r>
      <w:r>
        <w:rPr>
          <w:lang w:val="en-US"/>
        </w:rPr>
        <w:t>;</w:t>
      </w:r>
    </w:p>
    <w:p w:rsidR="00FD0884" w:rsidRDefault="00FD0884" w:rsidP="00677053">
      <w:pPr>
        <w:pStyle w:val="enumlev1"/>
        <w:rPr>
          <w:lang w:val="en-US"/>
        </w:rPr>
      </w:pPr>
      <w:r>
        <w:rPr>
          <w:lang w:val="en-US"/>
        </w:rPr>
        <w:t>–</w:t>
      </w:r>
      <w:r>
        <w:rPr>
          <w:lang w:val="en-US"/>
        </w:rPr>
        <w:tab/>
        <w:t>the frequency deviation should not exceed</w:t>
      </w:r>
      <w:r w:rsidR="00677053">
        <w:rPr>
          <w:lang w:val="en-US"/>
        </w:rPr>
        <w:t xml:space="preserve"> ±</w:t>
      </w:r>
      <w:r>
        <w:rPr>
          <w:sz w:val="4"/>
          <w:lang w:val="en-US"/>
        </w:rPr>
        <w:t> </w:t>
      </w:r>
      <w:r>
        <w:rPr>
          <w:lang w:val="en-US"/>
        </w:rPr>
        <w:t>2.5 kHz.</w:t>
      </w:r>
    </w:p>
    <w:p w:rsidR="00FD0884" w:rsidRDefault="00FD0884">
      <w:pPr>
        <w:pStyle w:val="Note"/>
        <w:rPr>
          <w:lang w:val="en-US"/>
        </w:rPr>
      </w:pPr>
      <w:r>
        <w:rPr>
          <w:lang w:val="en-US"/>
        </w:rPr>
        <w:t>NOTE 1 – For information, other characteristics are based on European Telecommunications Standard (ETS) </w:t>
      </w:r>
      <w:r w:rsidR="00801E05">
        <w:rPr>
          <w:lang w:val="en-US"/>
        </w:rPr>
        <w:t>301 925</w:t>
      </w:r>
      <w:r>
        <w:rPr>
          <w:lang w:val="en-US"/>
        </w:rPr>
        <w:t xml:space="preserve"> published by the European Telecommunications Standards Institute (ETSI).</w:t>
      </w:r>
    </w:p>
    <w:p w:rsidR="00FD0884" w:rsidRDefault="00FD0884" w:rsidP="00FD0884">
      <w:pPr>
        <w:rPr>
          <w:lang w:val="en-US"/>
        </w:rPr>
      </w:pPr>
    </w:p>
    <w:p w:rsidR="003E487D" w:rsidRDefault="003E487D" w:rsidP="00FD0884">
      <w:pPr>
        <w:rPr>
          <w:lang w:val="en-US"/>
        </w:rPr>
      </w:pPr>
    </w:p>
    <w:p w:rsidR="003E487D" w:rsidRDefault="003E487D" w:rsidP="00FD0884">
      <w:pPr>
        <w:rPr>
          <w:lang w:val="en-US"/>
        </w:rPr>
      </w:pPr>
    </w:p>
    <w:p w:rsidR="00FD0884" w:rsidRPr="00DD41E4" w:rsidRDefault="00DD41E4" w:rsidP="00FD0884">
      <w:pPr>
        <w:pStyle w:val="AnnexNo"/>
        <w:rPr>
          <w:b/>
          <w:bCs/>
          <w:lang w:val="en-US"/>
        </w:rPr>
      </w:pPr>
      <w:r>
        <w:rPr>
          <w:b/>
          <w:bCs/>
          <w:lang w:val="en-US"/>
        </w:rPr>
        <w:t xml:space="preserve">Annex </w:t>
      </w:r>
      <w:r w:rsidRPr="00DD41E4">
        <w:rPr>
          <w:b/>
          <w:bCs/>
          <w:lang w:val="en-US"/>
        </w:rPr>
        <w:t>2</w:t>
      </w:r>
    </w:p>
    <w:p w:rsidR="00FD0884" w:rsidRDefault="00FD0884" w:rsidP="00FD0884">
      <w:pPr>
        <w:pStyle w:val="Annextitle"/>
        <w:rPr>
          <w:lang w:val="en-US"/>
        </w:rPr>
      </w:pPr>
      <w:r>
        <w:rPr>
          <w:lang w:val="en-US"/>
        </w:rPr>
        <w:t xml:space="preserve">Migration to narrow-band channels in the maritime mobile service </w:t>
      </w:r>
    </w:p>
    <w:p w:rsidR="00FD0884" w:rsidRDefault="00FD0884" w:rsidP="00FD0884">
      <w:pPr>
        <w:pStyle w:val="Heading1"/>
        <w:rPr>
          <w:lang w:val="en-US"/>
        </w:rPr>
      </w:pPr>
      <w:r>
        <w:rPr>
          <w:lang w:val="en-US"/>
        </w:rPr>
        <w:t>1</w:t>
      </w:r>
      <w:r>
        <w:rPr>
          <w:lang w:val="en-US"/>
        </w:rPr>
        <w:tab/>
        <w:t>Introduction</w:t>
      </w:r>
    </w:p>
    <w:p w:rsidR="00FD0884" w:rsidRDefault="00FD0884" w:rsidP="00FD0884">
      <w:pPr>
        <w:rPr>
          <w:lang w:val="en-US"/>
        </w:rPr>
      </w:pPr>
      <w:r>
        <w:rPr>
          <w:lang w:val="en-US"/>
        </w:rPr>
        <w:t>This Annex considers how in future the maritime-mobile service might migrate to narrow-band channels spaced at 5 kHz or 6.25 kHz apart, using linear or digital modulation. Consideration is given to migration from 25 kHz channel spacing as used at present, and from 12.5 kHz if the latter was to be implemented as an interim measure by some administrations.</w:t>
      </w:r>
    </w:p>
    <w:p w:rsidR="00FD0884" w:rsidRDefault="00FD0884" w:rsidP="00FD0884">
      <w:pPr>
        <w:pStyle w:val="Heading1"/>
        <w:rPr>
          <w:lang w:val="en-US"/>
        </w:rPr>
      </w:pPr>
      <w:r>
        <w:rPr>
          <w:lang w:val="en-US"/>
        </w:rPr>
        <w:t>2</w:t>
      </w:r>
      <w:r>
        <w:rPr>
          <w:lang w:val="en-US"/>
        </w:rPr>
        <w:tab/>
        <w:t>Implications of migration to narrow-band channels</w:t>
      </w:r>
    </w:p>
    <w:p w:rsidR="00FD0884" w:rsidRDefault="00FD0884" w:rsidP="00FD0884">
      <w:pPr>
        <w:pStyle w:val="Heading2"/>
        <w:rPr>
          <w:lang w:val="en-US"/>
        </w:rPr>
      </w:pPr>
      <w:r>
        <w:rPr>
          <w:lang w:val="en-US"/>
        </w:rPr>
        <w:t>2.1</w:t>
      </w:r>
      <w:r>
        <w:rPr>
          <w:lang w:val="en-US"/>
        </w:rPr>
        <w:tab/>
        <w:t>Migration</w:t>
      </w:r>
    </w:p>
    <w:p w:rsidR="00FD0884" w:rsidRDefault="00FD0884" w:rsidP="00FD0884">
      <w:pPr>
        <w:rPr>
          <w:lang w:val="en-US"/>
        </w:rPr>
      </w:pPr>
      <w:r>
        <w:rPr>
          <w:lang w:val="en-US"/>
        </w:rPr>
        <w:t>The most practicable and least disruptive method of migrating from 25 kHz or 12.5 kHz to 5 kHz or 6.25 kHz would be by interleaving the narrow-band channels with the wider ones and a similar technique can be used in all cases. However because the linear and digital modulation techniques using 5 kHz and/or 6.25 kHz are incompatible with current FM equipment, dual mode or additional equipment would be required during the change-over period.</w:t>
      </w:r>
    </w:p>
    <w:p w:rsidR="00FD0884" w:rsidRDefault="00FD0884" w:rsidP="00FD0884">
      <w:pPr>
        <w:pStyle w:val="Heading2"/>
        <w:rPr>
          <w:lang w:val="en-US"/>
        </w:rPr>
      </w:pPr>
      <w:r>
        <w:rPr>
          <w:lang w:val="en-US"/>
        </w:rPr>
        <w:lastRenderedPageBreak/>
        <w:t>2.2</w:t>
      </w:r>
      <w:r>
        <w:rPr>
          <w:lang w:val="en-US"/>
        </w:rPr>
        <w:tab/>
        <w:t xml:space="preserve">Interleaving </w:t>
      </w:r>
    </w:p>
    <w:p w:rsidR="00FD0884" w:rsidRDefault="00FD0884" w:rsidP="00FD0884">
      <w:pPr>
        <w:pStyle w:val="Heading3"/>
        <w:rPr>
          <w:lang w:val="en-US"/>
        </w:rPr>
      </w:pPr>
      <w:r>
        <w:rPr>
          <w:lang w:val="en-US"/>
        </w:rPr>
        <w:t>2.2.1</w:t>
      </w:r>
      <w:r>
        <w:rPr>
          <w:lang w:val="en-US"/>
        </w:rPr>
        <w:tab/>
        <w:t>Interleaving with 25 kHz channels</w:t>
      </w:r>
    </w:p>
    <w:p w:rsidR="00FD0884" w:rsidRDefault="00FD0884" w:rsidP="00FD0884">
      <w:pPr>
        <w:rPr>
          <w:lang w:val="en-US"/>
        </w:rPr>
      </w:pPr>
      <w:r>
        <w:rPr>
          <w:lang w:val="en-US"/>
        </w:rPr>
        <w:t>Figures 1 and 2 illustrate how 5 kHz and 6.25 kHz channels could be interleaved with the existing 25 kHz ones. During the change-over period, coast stations and ships would be required to equip with narrow-band equipment and move to the new narrow-band channels as they became available. The numbers of new narrow-band channels would be gradually increased during the transition period with the number of 25 kHz channels available correspondingly decreasing.</w:t>
      </w:r>
    </w:p>
    <w:p w:rsidR="00FD0884" w:rsidRDefault="00FD0884" w:rsidP="00FD0884">
      <w:pPr>
        <w:rPr>
          <w:lang w:val="en-US"/>
        </w:rPr>
      </w:pPr>
      <w:r>
        <w:rPr>
          <w:lang w:val="en-US"/>
        </w:rPr>
        <w:t>On a specified date all remaining 25 kHz channels would be withdrawn to be replaced by new ones.</w:t>
      </w:r>
    </w:p>
    <w:p w:rsidR="00FD0884" w:rsidRDefault="00FD0884" w:rsidP="00FD0884">
      <w:pPr>
        <w:rPr>
          <w:lang w:val="en-US"/>
        </w:rPr>
      </w:pPr>
      <w:r>
        <w:rPr>
          <w:lang w:val="en-US"/>
        </w:rPr>
        <w:t>The migration from 25 kHz channels is fairly straightforward but some realignment of channel or band edges is likely to be required.</w:t>
      </w:r>
    </w:p>
    <w:p w:rsidR="00FD0884" w:rsidRDefault="0003188F" w:rsidP="0003188F">
      <w:pPr>
        <w:pStyle w:val="FigureNo"/>
        <w:tabs>
          <w:tab w:val="clear" w:pos="794"/>
          <w:tab w:val="clear" w:pos="1191"/>
          <w:tab w:val="clear" w:pos="1588"/>
          <w:tab w:val="clear" w:pos="1985"/>
          <w:tab w:val="center" w:pos="2410"/>
          <w:tab w:val="center" w:pos="7088"/>
        </w:tabs>
        <w:jc w:val="left"/>
        <w:rPr>
          <w:noProof/>
          <w:lang w:val="en-US" w:eastAsia="zh-CN"/>
        </w:rPr>
      </w:pPr>
      <w:r>
        <w:rPr>
          <w:noProof/>
          <w:lang w:val="en-US" w:eastAsia="zh-CN"/>
        </w:rPr>
        <w:tab/>
        <w:t>figure 1</w:t>
      </w:r>
      <w:r>
        <w:rPr>
          <w:noProof/>
          <w:lang w:val="en-US" w:eastAsia="zh-CN"/>
        </w:rPr>
        <w:tab/>
        <w:t>figure 2</w:t>
      </w:r>
    </w:p>
    <w:p w:rsidR="0003188F" w:rsidRPr="0003188F" w:rsidRDefault="0003188F" w:rsidP="0003188F">
      <w:pPr>
        <w:pStyle w:val="Figuretitle"/>
        <w:tabs>
          <w:tab w:val="clear" w:pos="794"/>
          <w:tab w:val="clear" w:pos="1191"/>
          <w:tab w:val="clear" w:pos="1588"/>
          <w:tab w:val="clear" w:pos="1985"/>
          <w:tab w:val="center" w:pos="2552"/>
          <w:tab w:val="center" w:pos="7088"/>
        </w:tabs>
        <w:jc w:val="left"/>
        <w:rPr>
          <w:lang w:val="en-US" w:eastAsia="zh-CN"/>
        </w:rPr>
      </w:pPr>
      <w:r>
        <w:rPr>
          <w:lang w:val="en-US" w:eastAsia="zh-CN"/>
        </w:rPr>
        <w:tab/>
        <w:t>Migration from 25 kHz to 5 kHz channelling</w:t>
      </w:r>
      <w:r w:rsidRPr="0003188F">
        <w:rPr>
          <w:lang w:val="en-US" w:eastAsia="zh-CN"/>
        </w:rPr>
        <w:t xml:space="preserve"> </w:t>
      </w:r>
      <w:r>
        <w:rPr>
          <w:lang w:val="en-US" w:eastAsia="zh-CN"/>
        </w:rPr>
        <w:tab/>
        <w:t>Migration from 25 kHz to 6.</w:t>
      </w:r>
      <w:r w:rsidR="00084323">
        <w:rPr>
          <w:lang w:val="en-US" w:eastAsia="zh-CN"/>
        </w:rPr>
        <w:t>2</w:t>
      </w:r>
      <w:r>
        <w:rPr>
          <w:lang w:val="en-US" w:eastAsia="zh-CN"/>
        </w:rPr>
        <w:t>5 kHz channelling</w:t>
      </w:r>
    </w:p>
    <w:p w:rsidR="0003188F" w:rsidRPr="0003188F" w:rsidRDefault="0003188F" w:rsidP="0003188F">
      <w:pPr>
        <w:pStyle w:val="Figure"/>
        <w:rPr>
          <w:lang w:val="en-US" w:eastAsia="zh-CN"/>
        </w:rPr>
      </w:pPr>
      <w:r>
        <w:rPr>
          <w:lang w:val="en-US" w:eastAsia="zh-CN"/>
        </w:rPr>
        <w:object w:dxaOrig="9761" w:dyaOrig="7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5pt;height:323.05pt" o:ole="">
            <v:imagedata r:id="rId8" o:title=""/>
          </v:shape>
          <o:OLEObject Type="Embed" ProgID="CorelDRAW.Graphic.14" ShapeID="_x0000_i1025" DrawAspect="Content" ObjectID="_1523706613" r:id="rId9"/>
        </w:object>
      </w:r>
    </w:p>
    <w:p w:rsidR="00FD0884" w:rsidRDefault="00FD0884" w:rsidP="00FD0884">
      <w:pPr>
        <w:pStyle w:val="Heading3"/>
        <w:rPr>
          <w:lang w:val="en-GB"/>
        </w:rPr>
      </w:pPr>
      <w:r>
        <w:rPr>
          <w:lang w:val="en-GB"/>
        </w:rPr>
        <w:t>2.2.2</w:t>
      </w:r>
      <w:r>
        <w:rPr>
          <w:lang w:val="en-GB"/>
        </w:rPr>
        <w:tab/>
        <w:t>Interleaving with 12.5 kHz channels</w:t>
      </w:r>
    </w:p>
    <w:p w:rsidR="00FD0884" w:rsidRDefault="00FD0884" w:rsidP="00FD0884">
      <w:pPr>
        <w:rPr>
          <w:lang w:val="en-GB"/>
        </w:rPr>
      </w:pPr>
      <w:r>
        <w:rPr>
          <w:lang w:val="en-GB"/>
        </w:rPr>
        <w:t>Figures 3 and 4 show that the principle for interleaving 5 kHz or 6.25 kHz channels with any interim 12.5 kHz channels is exactly the same as for 25 kHz. However, the final transition is made more complicated in the case of 5 kHz as the channel initially interleaved on the centre of the 25 kHz band would have to be moved by 2.5 kHz.</w:t>
      </w:r>
    </w:p>
    <w:p w:rsidR="00FD0884" w:rsidRDefault="00FD0884" w:rsidP="00FD0884">
      <w:pPr>
        <w:pStyle w:val="Heading3"/>
        <w:rPr>
          <w:lang w:val="en-GB"/>
        </w:rPr>
      </w:pPr>
      <w:r>
        <w:rPr>
          <w:lang w:val="en-GB"/>
        </w:rPr>
        <w:lastRenderedPageBreak/>
        <w:t>2.2.3</w:t>
      </w:r>
      <w:r>
        <w:rPr>
          <w:lang w:val="en-GB"/>
        </w:rPr>
        <w:tab/>
        <w:t>Interleaving with 25 kHz and 12.5 kHz channels</w:t>
      </w:r>
    </w:p>
    <w:p w:rsidR="00FD0884" w:rsidRDefault="00FD0884">
      <w:pPr>
        <w:rPr>
          <w:lang w:val="en-GB"/>
        </w:rPr>
      </w:pPr>
      <w:r>
        <w:rPr>
          <w:lang w:val="en-GB"/>
        </w:rPr>
        <w:t>If some administrations were to move to 12.5 kHz channel spacing as an interim measure, and if the 12.5 kHz channels were interleaved with the 25 kHz channels, future migration to 5 kHz or 6.25 kHz channels would be significantly more complicated. As shown in Fig. 5, the 5 kHz or 6.25 kHz channel would overlap one or other of the wider bandwidth channels.</w:t>
      </w:r>
    </w:p>
    <w:p w:rsidR="00084323" w:rsidRDefault="00084323" w:rsidP="00084323">
      <w:pPr>
        <w:pStyle w:val="FigureNo"/>
        <w:tabs>
          <w:tab w:val="clear" w:pos="794"/>
          <w:tab w:val="clear" w:pos="1191"/>
          <w:tab w:val="clear" w:pos="1588"/>
          <w:tab w:val="clear" w:pos="1985"/>
          <w:tab w:val="center" w:pos="2410"/>
          <w:tab w:val="center" w:pos="7088"/>
        </w:tabs>
        <w:jc w:val="left"/>
        <w:rPr>
          <w:noProof/>
          <w:lang w:val="en-US" w:eastAsia="zh-CN"/>
        </w:rPr>
      </w:pPr>
      <w:r>
        <w:rPr>
          <w:noProof/>
          <w:lang w:val="en-US" w:eastAsia="zh-CN"/>
        </w:rPr>
        <w:tab/>
        <w:t>figure 3</w:t>
      </w:r>
      <w:r>
        <w:rPr>
          <w:noProof/>
          <w:lang w:val="en-US" w:eastAsia="zh-CN"/>
        </w:rPr>
        <w:tab/>
        <w:t>figure 4</w:t>
      </w:r>
    </w:p>
    <w:p w:rsidR="00084323" w:rsidRPr="0003188F" w:rsidRDefault="00084323" w:rsidP="00084323">
      <w:pPr>
        <w:pStyle w:val="Figuretitle"/>
        <w:tabs>
          <w:tab w:val="clear" w:pos="794"/>
          <w:tab w:val="clear" w:pos="1191"/>
          <w:tab w:val="clear" w:pos="1588"/>
          <w:tab w:val="clear" w:pos="1985"/>
          <w:tab w:val="center" w:pos="2552"/>
          <w:tab w:val="center" w:pos="7088"/>
        </w:tabs>
        <w:jc w:val="left"/>
        <w:rPr>
          <w:lang w:val="en-US" w:eastAsia="zh-CN"/>
        </w:rPr>
      </w:pPr>
      <w:r>
        <w:rPr>
          <w:lang w:val="en-US" w:eastAsia="zh-CN"/>
        </w:rPr>
        <w:tab/>
        <w:t>Migration from 12.5 kHz to 5 kHz channelling</w:t>
      </w:r>
      <w:r w:rsidRPr="0003188F">
        <w:rPr>
          <w:lang w:val="en-US" w:eastAsia="zh-CN"/>
        </w:rPr>
        <w:t xml:space="preserve"> </w:t>
      </w:r>
      <w:r>
        <w:rPr>
          <w:lang w:val="en-US" w:eastAsia="zh-CN"/>
        </w:rPr>
        <w:tab/>
        <w:t>Migration from 12.5 kHz to 6.25 kHz channelling</w:t>
      </w:r>
    </w:p>
    <w:p w:rsidR="00FD0884" w:rsidRPr="00084323" w:rsidRDefault="00BB0942" w:rsidP="00FD0884">
      <w:pPr>
        <w:pStyle w:val="FigureNo"/>
        <w:rPr>
          <w:lang w:val="en-US"/>
        </w:rPr>
      </w:pPr>
      <w:r>
        <w:rPr>
          <w:lang w:val="en-US"/>
        </w:rPr>
        <w:object w:dxaOrig="9719" w:dyaOrig="7080">
          <v:shape id="_x0000_i1026" type="#_x0000_t75" style="width:446.95pt;height:325.85pt" o:ole="">
            <v:imagedata r:id="rId10" o:title=""/>
          </v:shape>
          <o:OLEObject Type="Embed" ProgID="CorelDRAW.Graphic.14" ShapeID="_x0000_i1026" DrawAspect="Content" ObjectID="_1523706614" r:id="rId11"/>
        </w:object>
      </w:r>
    </w:p>
    <w:p w:rsidR="00FD0884" w:rsidRDefault="00EB0A6D" w:rsidP="00EB0A6D">
      <w:pPr>
        <w:pStyle w:val="FigureNo"/>
        <w:rPr>
          <w:lang w:val="en-US"/>
        </w:rPr>
      </w:pPr>
      <w:r>
        <w:rPr>
          <w:lang w:val="en-US"/>
        </w:rPr>
        <w:t>figure 5</w:t>
      </w:r>
    </w:p>
    <w:p w:rsidR="00EB0A6D" w:rsidRDefault="00EB0A6D" w:rsidP="00250CE2">
      <w:pPr>
        <w:pStyle w:val="Figuretitle"/>
        <w:rPr>
          <w:lang w:val="en-US"/>
        </w:rPr>
      </w:pPr>
      <w:r>
        <w:rPr>
          <w:lang w:val="en-US"/>
        </w:rPr>
        <w:t>Inserting a new channel, 5 or 6.25 kHz, on top of 12.5 kHz channels already interleaved</w:t>
      </w:r>
      <w:r>
        <w:rPr>
          <w:lang w:val="en-US"/>
        </w:rPr>
        <w:br/>
        <w:t>between 25 kHz channels, incre</w:t>
      </w:r>
      <w:r w:rsidR="00250CE2">
        <w:rPr>
          <w:lang w:val="en-US"/>
        </w:rPr>
        <w:t>a</w:t>
      </w:r>
      <w:r>
        <w:rPr>
          <w:lang w:val="en-US"/>
        </w:rPr>
        <w:t>ses the overlap of transmissions.</w:t>
      </w:r>
      <w:r>
        <w:rPr>
          <w:lang w:val="en-US"/>
        </w:rPr>
        <w:br/>
        <w:t>Two alternative cases are shown</w:t>
      </w:r>
    </w:p>
    <w:p w:rsidR="00EB0A6D" w:rsidRPr="00EB0A6D" w:rsidRDefault="00EB0A6D" w:rsidP="00EB0A6D">
      <w:pPr>
        <w:pStyle w:val="Figure"/>
        <w:rPr>
          <w:lang w:val="en-US"/>
        </w:rPr>
      </w:pPr>
      <w:r>
        <w:rPr>
          <w:lang w:val="en-US"/>
        </w:rPr>
        <w:object w:dxaOrig="6647" w:dyaOrig="3432">
          <v:shape id="_x0000_i1027" type="#_x0000_t75" style="width:301.55pt;height:156.15pt" o:ole="">
            <v:imagedata r:id="rId12" o:title=""/>
          </v:shape>
          <o:OLEObject Type="Embed" ProgID="CorelDRAW.Graphic.14" ShapeID="_x0000_i1027" DrawAspect="Content" ObjectID="_1523706615" r:id="rId13"/>
        </w:object>
      </w:r>
    </w:p>
    <w:p w:rsidR="00FD0884" w:rsidRPr="008C5168" w:rsidRDefault="00FD0884" w:rsidP="00A85612">
      <w:pPr>
        <w:pStyle w:val="Heading1"/>
        <w:rPr>
          <w:lang w:val="en-US"/>
        </w:rPr>
      </w:pPr>
      <w:r w:rsidRPr="008C5168">
        <w:rPr>
          <w:lang w:val="en-US"/>
        </w:rPr>
        <w:lastRenderedPageBreak/>
        <w:t>3</w:t>
      </w:r>
      <w:r w:rsidRPr="008C5168">
        <w:rPr>
          <w:lang w:val="en-US"/>
        </w:rPr>
        <w:tab/>
        <w:t>Interference</w:t>
      </w:r>
    </w:p>
    <w:p w:rsidR="00FD0884" w:rsidRDefault="00FD0884" w:rsidP="00A85612">
      <w:pPr>
        <w:keepNext/>
        <w:keepLines/>
        <w:rPr>
          <w:lang w:val="en-GB"/>
        </w:rPr>
      </w:pPr>
      <w:r>
        <w:rPr>
          <w:lang w:val="en-GB"/>
        </w:rPr>
        <w:t>The interleaving process has to be done so as to minimize mutual interference. Some measurements of the interference and co-channel performance between interleaved linear modulation and 12.5 kHz FM have been made. No similar published information has been identified for narrow</w:t>
      </w:r>
      <w:r>
        <w:rPr>
          <w:lang w:val="en-GB"/>
        </w:rPr>
        <w:noBreakHyphen/>
        <w:t>band digital speech. It is however reasonable to assume that interleaving 5 kHz or 6.25 kHz channels between 25 kHz channels will lead to less interference and better co</w:t>
      </w:r>
      <w:r>
        <w:rPr>
          <w:lang w:val="en-GB"/>
        </w:rPr>
        <w:noBreakHyphen/>
        <w:t>channel performance than between 12.5 kHz channels.</w:t>
      </w:r>
    </w:p>
    <w:p w:rsidR="00FD0884" w:rsidRDefault="00FD0884" w:rsidP="00FD0884">
      <w:pPr>
        <w:pStyle w:val="Heading1"/>
        <w:rPr>
          <w:lang w:val="en-GB"/>
        </w:rPr>
      </w:pPr>
      <w:r>
        <w:rPr>
          <w:lang w:val="en-GB"/>
        </w:rPr>
        <w:t>4</w:t>
      </w:r>
      <w:r>
        <w:rPr>
          <w:lang w:val="en-GB"/>
        </w:rPr>
        <w:tab/>
        <w:t>Conclusions</w:t>
      </w:r>
    </w:p>
    <w:p w:rsidR="00FD0884" w:rsidRDefault="00FD0884" w:rsidP="00FD0884">
      <w:pPr>
        <w:rPr>
          <w:lang w:val="en-GB"/>
        </w:rPr>
      </w:pPr>
      <w:r>
        <w:rPr>
          <w:lang w:val="en-GB"/>
        </w:rPr>
        <w:t>The migration path to either 5 kHz or 6.25 kHz channels would be similar. However, a direct transition from 25 kHz rather than via an interim step of 12.5 kHz would be simpler in that:</w:t>
      </w:r>
    </w:p>
    <w:p w:rsidR="00FD0884" w:rsidRDefault="00FD0884" w:rsidP="00FD0884">
      <w:pPr>
        <w:pStyle w:val="enumlev1"/>
        <w:rPr>
          <w:lang w:val="en-GB"/>
        </w:rPr>
      </w:pPr>
      <w:r>
        <w:rPr>
          <w:lang w:val="en-GB"/>
        </w:rPr>
        <w:t>–</w:t>
      </w:r>
      <w:r>
        <w:rPr>
          <w:lang w:val="en-GB"/>
        </w:rPr>
        <w:tab/>
        <w:t>it would require less channel planning and realignment of centre frequencies;</w:t>
      </w:r>
    </w:p>
    <w:p w:rsidR="00FD0884" w:rsidRDefault="00FD0884" w:rsidP="00FD0884">
      <w:pPr>
        <w:pStyle w:val="enumlev1"/>
        <w:rPr>
          <w:lang w:val="en-GB"/>
        </w:rPr>
      </w:pPr>
      <w:r>
        <w:rPr>
          <w:lang w:val="en-GB"/>
        </w:rPr>
        <w:t>–</w:t>
      </w:r>
      <w:r>
        <w:rPr>
          <w:lang w:val="en-GB"/>
        </w:rPr>
        <w:tab/>
        <w:t>it would avoid channel overlap if 12.5 kHz channels were interleaved, as an interim measure, with 25 kHz ones; and</w:t>
      </w:r>
    </w:p>
    <w:p w:rsidR="00FD0884" w:rsidRDefault="00FD0884" w:rsidP="00FD0884">
      <w:pPr>
        <w:pStyle w:val="enumlev1"/>
        <w:rPr>
          <w:lang w:val="en-GB"/>
        </w:rPr>
      </w:pPr>
      <w:r>
        <w:rPr>
          <w:lang w:val="en-GB"/>
        </w:rPr>
        <w:t>–</w:t>
      </w:r>
      <w:r>
        <w:rPr>
          <w:lang w:val="en-GB"/>
        </w:rPr>
        <w:tab/>
        <w:t>the interference potential is likely to be less.</w:t>
      </w:r>
    </w:p>
    <w:p w:rsidR="00FD0884" w:rsidRDefault="00FD0884" w:rsidP="00FD0884">
      <w:pPr>
        <w:rPr>
          <w:lang w:val="en-GB"/>
        </w:rPr>
      </w:pPr>
      <w:r>
        <w:rPr>
          <w:lang w:val="en-GB"/>
        </w:rPr>
        <w:t>Clearly interleaving of channels will need to be carefully planned and the use of frequency planning tools will be important. Further field measurements and studies will be needed to provide the necessary information.</w:t>
      </w:r>
    </w:p>
    <w:p w:rsidR="00FD0884" w:rsidRDefault="00FD0884" w:rsidP="00FD0884">
      <w:pPr>
        <w:rPr>
          <w:lang w:val="en-GB"/>
        </w:rPr>
      </w:pPr>
    </w:p>
    <w:p w:rsidR="003E487D" w:rsidRDefault="003E487D" w:rsidP="00FD0884">
      <w:pPr>
        <w:rPr>
          <w:lang w:val="en-GB"/>
        </w:rPr>
      </w:pPr>
    </w:p>
    <w:p w:rsidR="00FD0884" w:rsidRPr="000A0A53" w:rsidRDefault="00FD0884" w:rsidP="00FD0884">
      <w:pPr>
        <w:pStyle w:val="AnnexNo"/>
        <w:rPr>
          <w:b/>
          <w:bCs/>
          <w:lang w:val="en-GB"/>
        </w:rPr>
      </w:pPr>
      <w:r w:rsidRPr="000A0A53">
        <w:rPr>
          <w:b/>
          <w:bCs/>
          <w:lang w:val="en-GB"/>
        </w:rPr>
        <w:t>A</w:t>
      </w:r>
      <w:r w:rsidR="00801E05" w:rsidRPr="000A0A53">
        <w:rPr>
          <w:b/>
          <w:bCs/>
          <w:lang w:val="en-GB"/>
        </w:rPr>
        <w:t xml:space="preserve">nnex </w:t>
      </w:r>
      <w:r w:rsidRPr="000A0A53">
        <w:rPr>
          <w:b/>
          <w:bCs/>
          <w:lang w:val="en-GB"/>
        </w:rPr>
        <w:t xml:space="preserve"> 3</w:t>
      </w:r>
    </w:p>
    <w:p w:rsidR="00FD0884" w:rsidRDefault="00FD0884" w:rsidP="00FD0884">
      <w:pPr>
        <w:pStyle w:val="Annextitle"/>
        <w:rPr>
          <w:lang w:val="en-GB"/>
        </w:rPr>
      </w:pPr>
      <w:r>
        <w:rPr>
          <w:lang w:val="en-GB"/>
        </w:rPr>
        <w:t>An example method for implementing interleaved narrow-band channels at 12.5 kHz offset spacing</w:t>
      </w:r>
    </w:p>
    <w:p w:rsidR="00FD0884" w:rsidRDefault="00FD0884" w:rsidP="00FD0884">
      <w:pPr>
        <w:pStyle w:val="Normalaftertitle"/>
        <w:rPr>
          <w:lang w:val="en-GB"/>
        </w:rPr>
      </w:pPr>
      <w:r>
        <w:rPr>
          <w:lang w:val="en-GB"/>
        </w:rPr>
        <w:t>This method could be used when 12.5 kHz operation is included along with digital selective-calling (DSC) operation (see Note 1) and 25 kHz in a single equipment.</w:t>
      </w:r>
    </w:p>
    <w:p w:rsidR="00FD0884" w:rsidRDefault="00FD0884" w:rsidP="00FD0884">
      <w:pPr>
        <w:pStyle w:val="Note"/>
        <w:rPr>
          <w:lang w:val="en-GB"/>
        </w:rPr>
      </w:pPr>
      <w:r>
        <w:rPr>
          <w:lang w:val="en-GB"/>
        </w:rPr>
        <w:t>NOTE 1 – DSC operation in this implementation is in full accordance with Recommendations ITU</w:t>
      </w:r>
      <w:r>
        <w:rPr>
          <w:lang w:val="en-GB"/>
        </w:rPr>
        <w:noBreakHyphen/>
        <w:t>R M.493, ITU</w:t>
      </w:r>
      <w:r>
        <w:rPr>
          <w:lang w:val="en-GB"/>
        </w:rPr>
        <w:noBreakHyphen/>
        <w:t>R M.541, ITU</w:t>
      </w:r>
      <w:r>
        <w:rPr>
          <w:lang w:val="en-GB"/>
        </w:rPr>
        <w:noBreakHyphen/>
        <w:t>R M.821 and ITU</w:t>
      </w:r>
      <w:r>
        <w:rPr>
          <w:lang w:val="en-GB"/>
        </w:rPr>
        <w:noBreakHyphen/>
        <w:t>R M.825.</w:t>
      </w:r>
    </w:p>
    <w:p w:rsidR="00FD0884" w:rsidRDefault="00FD0884" w:rsidP="00FD0884">
      <w:pPr>
        <w:pStyle w:val="Heading1"/>
        <w:rPr>
          <w:lang w:val="en-GB"/>
        </w:rPr>
      </w:pPr>
      <w:r>
        <w:rPr>
          <w:lang w:val="en-GB"/>
        </w:rPr>
        <w:t>1</w:t>
      </w:r>
      <w:r>
        <w:rPr>
          <w:lang w:val="en-GB"/>
        </w:rPr>
        <w:tab/>
        <w:t>Receiver performance</w:t>
      </w:r>
    </w:p>
    <w:p w:rsidR="00FD0884" w:rsidRDefault="00FD0884" w:rsidP="00677053">
      <w:pPr>
        <w:rPr>
          <w:lang w:val="en-GB"/>
        </w:rPr>
      </w:pPr>
      <w:r>
        <w:rPr>
          <w:b/>
          <w:lang w:val="en-GB"/>
        </w:rPr>
        <w:t>1.1</w:t>
      </w:r>
      <w:r>
        <w:rPr>
          <w:lang w:val="en-GB"/>
        </w:rPr>
        <w:tab/>
        <w:t xml:space="preserve">The sensitivity should be equal to or less than 0.3 </w:t>
      </w:r>
      <w:r w:rsidR="00677053">
        <w:rPr>
          <w:lang w:val="en-GB"/>
        </w:rPr>
        <w:t>µ</w:t>
      </w:r>
      <w:r>
        <w:rPr>
          <w:lang w:val="en-GB"/>
        </w:rPr>
        <w:t xml:space="preserve">V for a 12 dB signal plus noise plus distortion to noise plus distortion (SINAD) ratio at the output of the receiver for a 1 kHz narrow band </w:t>
      </w:r>
      <w:r w:rsidR="00801E05">
        <w:rPr>
          <w:lang w:val="en-GB"/>
        </w:rPr>
        <w:t xml:space="preserve">frequency </w:t>
      </w:r>
      <w:r>
        <w:rPr>
          <w:lang w:val="en-GB"/>
        </w:rPr>
        <w:t>modulation (NBFM) modulation tone at 2 kHz peak deviation.</w:t>
      </w:r>
    </w:p>
    <w:p w:rsidR="00FD0884" w:rsidRDefault="00FD0884" w:rsidP="00FD0884">
      <w:pPr>
        <w:rPr>
          <w:lang w:val="en-GB"/>
        </w:rPr>
      </w:pPr>
      <w:r>
        <w:rPr>
          <w:b/>
          <w:lang w:val="en-GB"/>
        </w:rPr>
        <w:lastRenderedPageBreak/>
        <w:t>1.2</w:t>
      </w:r>
      <w:r>
        <w:rPr>
          <w:lang w:val="en-GB"/>
        </w:rPr>
        <w:tab/>
        <w:t>Adjacent channel rejection should be at least 70 dB for a 12.5 kHz spaced adjacent channel.</w:t>
      </w:r>
    </w:p>
    <w:p w:rsidR="00FD0884" w:rsidRDefault="00FD0884" w:rsidP="00FD0884">
      <w:pPr>
        <w:rPr>
          <w:lang w:val="en-GB"/>
        </w:rPr>
      </w:pPr>
      <w:r>
        <w:rPr>
          <w:b/>
          <w:lang w:val="en-GB"/>
        </w:rPr>
        <w:t>1.3</w:t>
      </w:r>
      <w:r>
        <w:rPr>
          <w:lang w:val="en-GB"/>
        </w:rPr>
        <w:tab/>
        <w:t>The spurious response and out-of-band rejection ratio should be at least 75 dB.</w:t>
      </w:r>
    </w:p>
    <w:p w:rsidR="00FD0884" w:rsidRDefault="00FD0884" w:rsidP="00FD0884">
      <w:pPr>
        <w:rPr>
          <w:lang w:val="en-GB"/>
        </w:rPr>
      </w:pPr>
      <w:r>
        <w:rPr>
          <w:b/>
          <w:lang w:val="en-GB"/>
        </w:rPr>
        <w:t>1.4</w:t>
      </w:r>
      <w:r>
        <w:rPr>
          <w:lang w:val="en-GB"/>
        </w:rPr>
        <w:tab/>
        <w:t>The radio-frequency intermodulation rejection ratio should be at least 75 dB.</w:t>
      </w:r>
    </w:p>
    <w:p w:rsidR="00FD0884" w:rsidRDefault="00FD0884" w:rsidP="00FD0884">
      <w:pPr>
        <w:rPr>
          <w:lang w:val="en-GB"/>
        </w:rPr>
      </w:pPr>
      <w:r>
        <w:rPr>
          <w:b/>
          <w:lang w:val="en-GB"/>
        </w:rPr>
        <w:t>1.5</w:t>
      </w:r>
      <w:r>
        <w:rPr>
          <w:lang w:val="en-GB"/>
        </w:rPr>
        <w:tab/>
        <w:t>The power of any conducted spurious emission, measured at the antenna terminals, should not exceed 2.0 nW at any discrete frequency.</w:t>
      </w:r>
    </w:p>
    <w:p w:rsidR="00FD0884" w:rsidRDefault="00FD0884" w:rsidP="00A85612">
      <w:pPr>
        <w:keepNext/>
        <w:keepLines/>
        <w:rPr>
          <w:lang w:val="en-GB"/>
        </w:rPr>
      </w:pPr>
      <w:r>
        <w:rPr>
          <w:b/>
          <w:lang w:val="en-GB"/>
        </w:rPr>
        <w:t>1.6</w:t>
      </w:r>
      <w:r>
        <w:rPr>
          <w:lang w:val="en-GB"/>
        </w:rPr>
        <w:tab/>
        <w:t xml:space="preserve">The effective radiated power (e.r.p.) of any cabinet radiated spurious emission on any frequency up to </w:t>
      </w:r>
      <w:r w:rsidR="00677053">
        <w:rPr>
          <w:lang w:val="en-GB"/>
        </w:rPr>
        <w:t>±</w:t>
      </w:r>
      <w:r>
        <w:rPr>
          <w:lang w:val="en-GB"/>
        </w:rPr>
        <w:t xml:space="preserve">70 MHz removed from the carrier should not exceed 10 nW. More than 70 MHz removed from the carrier, the spurious emissions should not exceed 10 nW plus an additional </w:t>
      </w:r>
      <w:r>
        <w:rPr>
          <w:lang w:val="en-GB"/>
        </w:rPr>
        <w:br/>
        <w:t>–6 dB/octave in frequency up to 1</w:t>
      </w:r>
      <w:r>
        <w:rPr>
          <w:rFonts w:ascii="Tms Rmn" w:hAnsi="Tms Rmn"/>
          <w:sz w:val="12"/>
          <w:lang w:val="en-GB"/>
        </w:rPr>
        <w:t> </w:t>
      </w:r>
      <w:r>
        <w:rPr>
          <w:lang w:val="en-GB"/>
        </w:rPr>
        <w:t>000 MHz.</w:t>
      </w:r>
    </w:p>
    <w:p w:rsidR="00FD0884" w:rsidRDefault="00FD0884" w:rsidP="00FD0884">
      <w:pPr>
        <w:rPr>
          <w:lang w:val="en-GB"/>
        </w:rPr>
      </w:pPr>
      <w:r>
        <w:rPr>
          <w:b/>
          <w:lang w:val="en-GB"/>
        </w:rPr>
        <w:t>1.7</w:t>
      </w:r>
      <w:r>
        <w:rPr>
          <w:lang w:val="en-GB"/>
        </w:rPr>
        <w:tab/>
        <w:t>For receivers with DSC and C4FM capability. C4FM (constant envelope four-level FM) digital modulation in this implementation is compatible with CQPSK (compatible quadrature phase</w:t>
      </w:r>
      <w:r>
        <w:rPr>
          <w:lang w:val="en-GB"/>
        </w:rPr>
        <w:noBreakHyphen/>
        <w:t>shift key) modulation for both transmission and reception.</w:t>
      </w:r>
    </w:p>
    <w:p w:rsidR="00FD0884" w:rsidRDefault="00FD0884" w:rsidP="00677053">
      <w:pPr>
        <w:rPr>
          <w:lang w:val="en-GB"/>
        </w:rPr>
      </w:pPr>
      <w:r>
        <w:rPr>
          <w:b/>
          <w:lang w:val="en-GB"/>
        </w:rPr>
        <w:t>1.7.1</w:t>
      </w:r>
      <w:r>
        <w:rPr>
          <w:lang w:val="en-GB"/>
        </w:rPr>
        <w:tab/>
        <w:t>For DSC operation on 25 kHz channels, the receiver must be capable of error-free reception of any DSC data packet at 0.3 </w:t>
      </w:r>
      <w:r w:rsidR="00677053">
        <w:rPr>
          <w:lang w:val="en-GB"/>
        </w:rPr>
        <w:t>µ</w:t>
      </w:r>
      <w:r>
        <w:rPr>
          <w:lang w:val="en-GB"/>
        </w:rPr>
        <w:t>V.</w:t>
      </w:r>
    </w:p>
    <w:p w:rsidR="00FD0884" w:rsidRDefault="00FD0884" w:rsidP="00677053">
      <w:pPr>
        <w:rPr>
          <w:lang w:val="en-GB"/>
        </w:rPr>
      </w:pPr>
      <w:r>
        <w:rPr>
          <w:b/>
          <w:lang w:val="en-GB"/>
        </w:rPr>
        <w:t>1.7.2</w:t>
      </w:r>
      <w:r>
        <w:rPr>
          <w:lang w:val="en-GB"/>
        </w:rPr>
        <w:tab/>
        <w:t>For DSC operation on interleaved (12.5 kHz offset) channels, the receiver must be capable of error-free reception of a DSC data packet at 0.3 </w:t>
      </w:r>
      <w:r w:rsidR="00677053">
        <w:rPr>
          <w:lang w:val="en-GB"/>
        </w:rPr>
        <w:t>µ</w:t>
      </w:r>
      <w:r>
        <w:rPr>
          <w:lang w:val="en-GB"/>
        </w:rPr>
        <w:t>V at a reduced maximum deviation of</w:t>
      </w:r>
      <w:r w:rsidR="00677053">
        <w:rPr>
          <w:lang w:val="en-GB"/>
        </w:rPr>
        <w:t xml:space="preserve"> ±</w:t>
      </w:r>
      <w:r>
        <w:rPr>
          <w:rFonts w:ascii="Tms Rmn" w:hAnsi="Tms Rmn"/>
          <w:sz w:val="4"/>
          <w:lang w:val="en-GB"/>
        </w:rPr>
        <w:t> </w:t>
      </w:r>
      <w:r>
        <w:rPr>
          <w:lang w:val="en-GB"/>
        </w:rPr>
        <w:t>2.5 kHz.</w:t>
      </w:r>
    </w:p>
    <w:p w:rsidR="00FD0884" w:rsidRDefault="00FD0884" w:rsidP="00A02F11">
      <w:pPr>
        <w:rPr>
          <w:lang w:val="en-GB"/>
        </w:rPr>
      </w:pPr>
      <w:r>
        <w:rPr>
          <w:b/>
          <w:lang w:val="en-GB"/>
        </w:rPr>
        <w:t>1.7.3</w:t>
      </w:r>
      <w:r>
        <w:rPr>
          <w:lang w:val="en-GB"/>
        </w:rPr>
        <w:tab/>
        <w:t>For C4FM operation at 9</w:t>
      </w:r>
      <w:r>
        <w:rPr>
          <w:rFonts w:ascii="Tms Rmn" w:hAnsi="Tms Rmn"/>
          <w:sz w:val="12"/>
          <w:lang w:val="en-GB"/>
        </w:rPr>
        <w:t> </w:t>
      </w:r>
      <w:r>
        <w:rPr>
          <w:lang w:val="en-GB"/>
        </w:rPr>
        <w:t>600 bit/s, the receiver must be capable of error-free reception of a data packet of 512 characters at 0.5 </w:t>
      </w:r>
      <w:r w:rsidR="00A02F11">
        <w:rPr>
          <w:lang w:val="en-GB"/>
        </w:rPr>
        <w:t>µ</w:t>
      </w:r>
      <w:r>
        <w:rPr>
          <w:lang w:val="en-GB"/>
        </w:rPr>
        <w:t>V. Forward error correction (FEC) may be applied to accomplish the error-free reception.</w:t>
      </w:r>
    </w:p>
    <w:p w:rsidR="00FD0884" w:rsidRDefault="00FD0884" w:rsidP="00FD0884">
      <w:pPr>
        <w:pStyle w:val="Heading1"/>
        <w:rPr>
          <w:lang w:val="en-GB"/>
        </w:rPr>
      </w:pPr>
      <w:r>
        <w:rPr>
          <w:lang w:val="en-GB"/>
        </w:rPr>
        <w:t>2</w:t>
      </w:r>
      <w:r>
        <w:rPr>
          <w:lang w:val="en-GB"/>
        </w:rPr>
        <w:tab/>
        <w:t>Transmitter performance</w:t>
      </w:r>
    </w:p>
    <w:p w:rsidR="00FD0884" w:rsidRDefault="00FD0884" w:rsidP="00FD0884">
      <w:pPr>
        <w:rPr>
          <w:lang w:val="en-GB"/>
        </w:rPr>
      </w:pPr>
      <w:r>
        <w:rPr>
          <w:b/>
          <w:lang w:val="en-GB"/>
        </w:rPr>
        <w:t>2.1</w:t>
      </w:r>
      <w:r>
        <w:rPr>
          <w:lang w:val="en-GB"/>
        </w:rPr>
        <w:tab/>
        <w:t>The frequency tolerance for coast station transmitters should not exceed one part in 10</w:t>
      </w:r>
      <w:r>
        <w:rPr>
          <w:position w:val="6"/>
          <w:sz w:val="20"/>
          <w:lang w:val="en-GB"/>
        </w:rPr>
        <w:t>6</w:t>
      </w:r>
      <w:r>
        <w:rPr>
          <w:lang w:val="en-GB"/>
        </w:rPr>
        <w:t xml:space="preserve"> and that for ship station transmissions should not exceed five parts in 10</w:t>
      </w:r>
      <w:r>
        <w:rPr>
          <w:position w:val="6"/>
          <w:sz w:val="20"/>
          <w:lang w:val="en-GB"/>
        </w:rPr>
        <w:t>6</w:t>
      </w:r>
      <w:r>
        <w:rPr>
          <w:lang w:val="en-GB"/>
        </w:rPr>
        <w:t>.</w:t>
      </w:r>
    </w:p>
    <w:p w:rsidR="00FD0884" w:rsidRDefault="00FD0884" w:rsidP="00FD0884">
      <w:pPr>
        <w:rPr>
          <w:lang w:val="en-GB"/>
        </w:rPr>
      </w:pPr>
      <w:r>
        <w:rPr>
          <w:b/>
          <w:lang w:val="en-GB"/>
        </w:rPr>
        <w:t>2.2</w:t>
      </w:r>
      <w:r>
        <w:rPr>
          <w:lang w:val="en-GB"/>
        </w:rPr>
        <w:tab/>
        <w:t>Spurious emissions on discrete frequencies, when measured in a non-reactive load equal to the nominal output impedance of the transmitter, should be in accordance with the provisions of RR Appendix 3.</w:t>
      </w:r>
    </w:p>
    <w:p w:rsidR="00FD0884" w:rsidRDefault="00FD0884" w:rsidP="00FD0884">
      <w:pPr>
        <w:rPr>
          <w:lang w:val="en-GB"/>
        </w:rPr>
      </w:pPr>
      <w:r>
        <w:rPr>
          <w:b/>
          <w:lang w:val="en-GB"/>
        </w:rPr>
        <w:t>2.3</w:t>
      </w:r>
      <w:r>
        <w:rPr>
          <w:lang w:val="en-GB"/>
        </w:rPr>
        <w:tab/>
        <w:t>The carrier power for coast station transmitters should normally not exceed 50 W (e.r.p.).</w:t>
      </w:r>
    </w:p>
    <w:p w:rsidR="00FD0884" w:rsidRDefault="00FD0884" w:rsidP="00FD0884">
      <w:pPr>
        <w:rPr>
          <w:lang w:val="en-GB"/>
        </w:rPr>
      </w:pPr>
      <w:r>
        <w:rPr>
          <w:b/>
          <w:lang w:val="en-GB"/>
        </w:rPr>
        <w:t>2.4</w:t>
      </w:r>
      <w:r>
        <w:rPr>
          <w:lang w:val="en-GB"/>
        </w:rPr>
        <w:tab/>
        <w:t>The carrier power for ship stations transmitters should not exceed 25 W and means should be provided to readily reduce this to 1 W or less for use at short ranges.</w:t>
      </w:r>
    </w:p>
    <w:p w:rsidR="00FD0884" w:rsidRDefault="00FD0884" w:rsidP="00677053">
      <w:pPr>
        <w:rPr>
          <w:lang w:val="en-GB"/>
        </w:rPr>
      </w:pPr>
      <w:r>
        <w:rPr>
          <w:b/>
          <w:lang w:val="en-GB"/>
        </w:rPr>
        <w:t>2.5</w:t>
      </w:r>
      <w:r>
        <w:rPr>
          <w:lang w:val="en-GB"/>
        </w:rPr>
        <w:tab/>
        <w:t>The frequency deviation should not exceed</w:t>
      </w:r>
      <w:r w:rsidR="00677053">
        <w:rPr>
          <w:lang w:val="en-GB"/>
        </w:rPr>
        <w:t xml:space="preserve"> ±</w:t>
      </w:r>
      <w:r w:rsidR="00677053">
        <w:rPr>
          <w:rFonts w:ascii="Tms Rmn" w:hAnsi="Tms Rmn"/>
          <w:sz w:val="4"/>
          <w:lang w:val="en-GB"/>
        </w:rPr>
        <w:t> </w:t>
      </w:r>
      <w:r>
        <w:rPr>
          <w:rFonts w:ascii="Tms Rmn" w:hAnsi="Tms Rmn"/>
          <w:sz w:val="4"/>
          <w:lang w:val="en-GB"/>
        </w:rPr>
        <w:t> </w:t>
      </w:r>
      <w:r>
        <w:rPr>
          <w:lang w:val="en-GB"/>
        </w:rPr>
        <w:t xml:space="preserve">2.5 kHz when transmitting on NBFM 12.5 kHz channels. The occupied bandwidth on these </w:t>
      </w:r>
      <w:r>
        <w:rPr>
          <w:lang w:val="en-GB"/>
        </w:rPr>
        <w:lastRenderedPageBreak/>
        <w:t>channels should not exceed 11 kHz. Deviation limiting circuits should be employed such that the maximum frequency deviation attainable should be independent of the input audio frequency. If a modulation switch is employed,</w:t>
      </w:r>
      <w:r w:rsidR="00677053" w:rsidRPr="00677053">
        <w:rPr>
          <w:lang w:val="en-GB"/>
        </w:rPr>
        <w:t xml:space="preserve"> </w:t>
      </w:r>
      <w:r w:rsidR="00677053">
        <w:rPr>
          <w:lang w:val="en-GB"/>
        </w:rPr>
        <w:t>±</w:t>
      </w:r>
      <w:r w:rsidR="00677053">
        <w:rPr>
          <w:rFonts w:ascii="Tms Rmn" w:hAnsi="Tms Rmn"/>
          <w:sz w:val="4"/>
          <w:lang w:val="en-GB"/>
        </w:rPr>
        <w:t> </w:t>
      </w:r>
      <w:r>
        <w:rPr>
          <w:lang w:val="en-GB"/>
        </w:rPr>
        <w:t>5 kHz deviation should be allowed for use on the wideband frequency modulation (WBFM) 25 kHz channels.</w:t>
      </w:r>
    </w:p>
    <w:p w:rsidR="00FD0884" w:rsidRDefault="00FD0884" w:rsidP="00FD0884">
      <w:pPr>
        <w:rPr>
          <w:lang w:val="en-GB"/>
        </w:rPr>
      </w:pPr>
      <w:r>
        <w:rPr>
          <w:b/>
          <w:lang w:val="en-GB"/>
        </w:rPr>
        <w:t>2.6</w:t>
      </w:r>
      <w:r>
        <w:rPr>
          <w:lang w:val="en-GB"/>
        </w:rPr>
        <w:tab/>
        <w:t>The upper limit of the audio-frequency band should not exceed 3 kHz.</w:t>
      </w:r>
    </w:p>
    <w:p w:rsidR="00FD0884" w:rsidRDefault="00FD0884" w:rsidP="00A02F11">
      <w:pPr>
        <w:rPr>
          <w:lang w:val="en-GB"/>
        </w:rPr>
      </w:pPr>
      <w:r>
        <w:rPr>
          <w:b/>
          <w:lang w:val="en-GB"/>
        </w:rPr>
        <w:t>2.7</w:t>
      </w:r>
      <w:r>
        <w:rPr>
          <w:lang w:val="en-GB"/>
        </w:rPr>
        <w:tab/>
        <w:t xml:space="preserve">The cabinet radiated power should not exceed 25 </w:t>
      </w:r>
      <w:r w:rsidR="00A02F11">
        <w:rPr>
          <w:lang w:val="en-GB"/>
        </w:rPr>
        <w:t>µ</w:t>
      </w:r>
      <w:r>
        <w:rPr>
          <w:lang w:val="en-GB"/>
        </w:rPr>
        <w:t>W.</w:t>
      </w:r>
    </w:p>
    <w:p w:rsidR="00FD0884" w:rsidRDefault="00FD0884" w:rsidP="00FD0884">
      <w:pPr>
        <w:rPr>
          <w:lang w:val="en-GB"/>
        </w:rPr>
      </w:pPr>
      <w:r>
        <w:rPr>
          <w:b/>
          <w:lang w:val="en-GB"/>
        </w:rPr>
        <w:t>2.8</w:t>
      </w:r>
      <w:r>
        <w:rPr>
          <w:lang w:val="en-GB"/>
        </w:rPr>
        <w:tab/>
        <w:t>Voice transmissions should be by means of standard maritime VHF FM with a 6 dB/octave pre-emphasis. This is necessary to ensure reliable, safe, interoperable communications on the high seas and in the waterways.</w:t>
      </w:r>
    </w:p>
    <w:p w:rsidR="00FD0884" w:rsidRDefault="00FD0884" w:rsidP="00FD0884">
      <w:pPr>
        <w:pStyle w:val="Heading2"/>
        <w:rPr>
          <w:lang w:val="en-GB"/>
        </w:rPr>
      </w:pPr>
      <w:r>
        <w:rPr>
          <w:lang w:val="en-GB"/>
        </w:rPr>
        <w:t>2.9</w:t>
      </w:r>
      <w:r>
        <w:rPr>
          <w:lang w:val="en-GB"/>
        </w:rPr>
        <w:tab/>
        <w:t>For transmitters with DSC and C4FM capability</w:t>
      </w:r>
    </w:p>
    <w:p w:rsidR="00FD0884" w:rsidRDefault="00FD0884" w:rsidP="00FD0884">
      <w:pPr>
        <w:rPr>
          <w:lang w:val="en-GB"/>
        </w:rPr>
      </w:pPr>
      <w:r>
        <w:rPr>
          <w:b/>
          <w:lang w:val="en-GB"/>
        </w:rPr>
        <w:t>2.9.1</w:t>
      </w:r>
      <w:r>
        <w:rPr>
          <w:lang w:val="en-GB"/>
        </w:rPr>
        <w:tab/>
        <w:t>Transmitters with DSC capability should comply with the requirements of Recommendations ITU</w:t>
      </w:r>
      <w:r>
        <w:rPr>
          <w:lang w:val="en-GB"/>
        </w:rPr>
        <w:noBreakHyphen/>
        <w:t>R M.493, ITU</w:t>
      </w:r>
      <w:r>
        <w:rPr>
          <w:lang w:val="en-GB"/>
        </w:rPr>
        <w:noBreakHyphen/>
        <w:t xml:space="preserve">R M.541, and IMO A.803 (19) </w:t>
      </w:r>
      <w:r w:rsidR="00801E05">
        <w:rPr>
          <w:lang w:val="en-GB"/>
        </w:rPr>
        <w:t xml:space="preserve">with amendments by MSC.68(68) </w:t>
      </w:r>
      <w:r>
        <w:rPr>
          <w:lang w:val="en-GB"/>
        </w:rPr>
        <w:t>as a minimum. Stations should have provision for monitoring the VHF channel used for DSC purposes to determine the presence of a signal and, except for distress and safety calls, provide facilities for automatically preventing the transmission of a DSC call until the channel is free.</w:t>
      </w:r>
    </w:p>
    <w:p w:rsidR="00FD0884" w:rsidRDefault="00FD0884" w:rsidP="00FD0884">
      <w:pPr>
        <w:rPr>
          <w:lang w:val="en-GB"/>
        </w:rPr>
      </w:pPr>
      <w:r>
        <w:rPr>
          <w:b/>
          <w:lang w:val="en-GB"/>
        </w:rPr>
        <w:t>2.9.2</w:t>
      </w:r>
      <w:r>
        <w:rPr>
          <w:lang w:val="en-GB"/>
        </w:rPr>
        <w:tab/>
        <w:t>DSC (1</w:t>
      </w:r>
      <w:r>
        <w:rPr>
          <w:rFonts w:ascii="Tms Rmn" w:hAnsi="Tms Rmn"/>
          <w:sz w:val="12"/>
          <w:lang w:val="en-GB"/>
        </w:rPr>
        <w:t> </w:t>
      </w:r>
      <w:r>
        <w:rPr>
          <w:lang w:val="en-GB"/>
        </w:rPr>
        <w:t>200 bit/s) operation should be used at all times when operating on channel 70. Channel 70 should not be used as a working channel for any purposes. This channel should be kept as an international distress and calling channel. Passing of data for all other purposes such as data messaging, security monitoring, vessel tracking, and automated dependent surveillance (ADS) should be accomplished on another working channel.</w:t>
      </w:r>
    </w:p>
    <w:p w:rsidR="00FD0884" w:rsidRDefault="00FD0884" w:rsidP="00FD0884">
      <w:pPr>
        <w:rPr>
          <w:lang w:val="en-GB"/>
        </w:rPr>
      </w:pPr>
      <w:r>
        <w:rPr>
          <w:b/>
          <w:lang w:val="en-GB"/>
        </w:rPr>
        <w:t>2.9.3</w:t>
      </w:r>
      <w:r>
        <w:rPr>
          <w:b/>
          <w:lang w:val="en-GB"/>
        </w:rPr>
        <w:tab/>
      </w:r>
      <w:r>
        <w:rPr>
          <w:lang w:val="en-GB"/>
        </w:rPr>
        <w:t>General purpose data transmission should be performed on both wideband 25 kHz channels and narrow-band interleaved (12.5 kHz offset) channels and should utilize the DSC protocol to the fullest extent practicable. Enhancements to the DSC protocol should be developed as needed and coordinated in order to maintain regulatory control and thus ensure interoperability between equipments from various manufacturers.</w:t>
      </w:r>
    </w:p>
    <w:p w:rsidR="00FD0884" w:rsidRDefault="00FD0884" w:rsidP="00FD0884">
      <w:pPr>
        <w:rPr>
          <w:lang w:val="en-GB"/>
        </w:rPr>
      </w:pPr>
      <w:r>
        <w:rPr>
          <w:b/>
          <w:lang w:val="en-GB"/>
        </w:rPr>
        <w:t>2.9.4</w:t>
      </w:r>
      <w:r>
        <w:rPr>
          <w:lang w:val="en-GB"/>
        </w:rPr>
        <w:tab/>
        <w:t>DSC (1</w:t>
      </w:r>
      <w:r>
        <w:rPr>
          <w:rFonts w:ascii="Tms Rmn" w:hAnsi="Tms Rmn"/>
          <w:sz w:val="12"/>
          <w:lang w:val="en-GB"/>
        </w:rPr>
        <w:t> </w:t>
      </w:r>
      <w:r>
        <w:rPr>
          <w:lang w:val="en-GB"/>
        </w:rPr>
        <w:t xml:space="preserve">200 bit/s) operation on narrow-band interleaved (12.5 kHz offset) channels should be at a reduced maximum deviation of </w:t>
      </w:r>
      <w:r>
        <w:sym w:font="Symbol" w:char="F0B1"/>
      </w:r>
      <w:r>
        <w:rPr>
          <w:lang w:val="en-GB"/>
        </w:rPr>
        <w:t>2.5 kHz.</w:t>
      </w:r>
    </w:p>
    <w:p w:rsidR="00FD0884" w:rsidRDefault="00FD0884" w:rsidP="00FD0884">
      <w:pPr>
        <w:rPr>
          <w:lang w:val="en-GB"/>
        </w:rPr>
      </w:pPr>
      <w:r>
        <w:rPr>
          <w:b/>
          <w:lang w:val="en-GB"/>
        </w:rPr>
        <w:t>2.9.5</w:t>
      </w:r>
      <w:r>
        <w:rPr>
          <w:lang w:val="en-GB"/>
        </w:rPr>
        <w:tab/>
        <w:t>High speed (9</w:t>
      </w:r>
      <w:r>
        <w:rPr>
          <w:rFonts w:ascii="Tms Rmn" w:hAnsi="Tms Rmn"/>
          <w:sz w:val="12"/>
          <w:lang w:val="en-GB"/>
        </w:rPr>
        <w:t> </w:t>
      </w:r>
      <w:r>
        <w:rPr>
          <w:lang w:val="en-GB"/>
        </w:rPr>
        <w:t>600 bit/s) data transmissions should be performed using C4FM modulation with baseband filter shaping.</w:t>
      </w:r>
    </w:p>
    <w:p w:rsidR="00FD0884" w:rsidRDefault="00FD0884" w:rsidP="00FD0884">
      <w:pPr>
        <w:pStyle w:val="Heading4"/>
        <w:rPr>
          <w:lang w:val="en-GB"/>
        </w:rPr>
      </w:pPr>
      <w:r>
        <w:rPr>
          <w:lang w:val="en-GB"/>
        </w:rPr>
        <w:t>2.9.5.1</w:t>
      </w:r>
      <w:r>
        <w:rPr>
          <w:lang w:val="en-GB"/>
        </w:rPr>
        <w:tab/>
        <w:t xml:space="preserve">C4FM modulation on 12.5 kHz offset frequency channels </w:t>
      </w:r>
    </w:p>
    <w:p w:rsidR="00FD0884" w:rsidRDefault="00FD0884" w:rsidP="00FD0884">
      <w:pPr>
        <w:rPr>
          <w:lang w:val="en-GB"/>
        </w:rPr>
      </w:pPr>
      <w:r>
        <w:rPr>
          <w:lang w:val="en-GB"/>
        </w:rPr>
        <w:t>The C4FM modulator consists of a Nyquist raised cosine filter, cascaded with a shaping filter, cascaded with a frequency modulator.</w:t>
      </w:r>
    </w:p>
    <w:p w:rsidR="00FD0884" w:rsidRDefault="00FD0884" w:rsidP="00FD0884">
      <w:pPr>
        <w:pStyle w:val="Heading4"/>
        <w:rPr>
          <w:lang w:val="en-GB"/>
        </w:rPr>
      </w:pPr>
      <w:r>
        <w:rPr>
          <w:lang w:val="en-GB"/>
        </w:rPr>
        <w:t>2.9.5.2</w:t>
      </w:r>
      <w:r>
        <w:rPr>
          <w:lang w:val="en-GB"/>
        </w:rPr>
        <w:tab/>
        <w:t xml:space="preserve">C4FM Nyquist filter </w:t>
      </w:r>
    </w:p>
    <w:p w:rsidR="00FD0884" w:rsidRDefault="00FD0884" w:rsidP="00677053">
      <w:pPr>
        <w:rPr>
          <w:lang w:val="en-GB"/>
        </w:rPr>
      </w:pPr>
      <w:r>
        <w:rPr>
          <w:lang w:val="en-GB"/>
        </w:rPr>
        <w:t>The dibits of information (i.e., 4</w:t>
      </w:r>
      <w:r>
        <w:rPr>
          <w:rFonts w:ascii="Tms Rmn" w:hAnsi="Tms Rmn"/>
          <w:sz w:val="12"/>
          <w:lang w:val="en-GB"/>
        </w:rPr>
        <w:t> </w:t>
      </w:r>
      <w:r>
        <w:rPr>
          <w:lang w:val="en-GB"/>
        </w:rPr>
        <w:t xml:space="preserve">800 symbols/s) are filtered with a raised cosine filter which satisfies the Nyquist criterion minimizing inter-symbol </w:t>
      </w:r>
      <w:r>
        <w:rPr>
          <w:lang w:val="en-GB"/>
        </w:rPr>
        <w:lastRenderedPageBreak/>
        <w:t>interference. The group delay of the filter is flat over the passband for |</w:t>
      </w:r>
      <w:r>
        <w:rPr>
          <w:sz w:val="16"/>
          <w:lang w:val="en-GB"/>
        </w:rPr>
        <w:t> </w:t>
      </w:r>
      <w:r>
        <w:rPr>
          <w:i/>
          <w:lang w:val="en-GB"/>
        </w:rPr>
        <w:t>f</w:t>
      </w:r>
      <w:r>
        <w:rPr>
          <w:sz w:val="16"/>
          <w:lang w:val="en-GB"/>
        </w:rPr>
        <w:t> </w:t>
      </w:r>
      <w:r>
        <w:rPr>
          <w:lang w:val="en-GB"/>
        </w:rPr>
        <w:t xml:space="preserve">| </w:t>
      </w:r>
      <w:r w:rsidR="00677053">
        <w:rPr>
          <w:lang w:val="en-GB"/>
        </w:rPr>
        <w:t>&lt;</w:t>
      </w:r>
      <w:r>
        <w:rPr>
          <w:lang w:val="en-GB"/>
        </w:rPr>
        <w:t xml:space="preserve"> 2</w:t>
      </w:r>
      <w:r>
        <w:rPr>
          <w:sz w:val="12"/>
          <w:lang w:val="en-GB"/>
        </w:rPr>
        <w:t> </w:t>
      </w:r>
      <w:r>
        <w:rPr>
          <w:lang w:val="en-GB"/>
        </w:rPr>
        <w:t>880 Hz. The magnitude response of the filter is:</w:t>
      </w:r>
    </w:p>
    <w:p w:rsidR="00FD0884" w:rsidRPr="00677053" w:rsidRDefault="00FD0884" w:rsidP="00FD0884">
      <w:pPr>
        <w:rPr>
          <w:lang w:val="en-US"/>
        </w:rPr>
      </w:pPr>
    </w:p>
    <w:tbl>
      <w:tblPr>
        <w:tblW w:w="0" w:type="auto"/>
        <w:tblInd w:w="802" w:type="dxa"/>
        <w:tblLayout w:type="fixed"/>
        <w:tblCellMar>
          <w:left w:w="0" w:type="dxa"/>
          <w:right w:w="0" w:type="dxa"/>
        </w:tblCellMar>
        <w:tblLook w:val="0000" w:firstRow="0" w:lastRow="0" w:firstColumn="0" w:lastColumn="0" w:noHBand="0" w:noVBand="0"/>
      </w:tblPr>
      <w:tblGrid>
        <w:gridCol w:w="2608"/>
        <w:gridCol w:w="364"/>
        <w:gridCol w:w="1302"/>
        <w:gridCol w:w="2729"/>
      </w:tblGrid>
      <w:tr w:rsidR="00FD0884" w:rsidTr="006071D1">
        <w:tc>
          <w:tcPr>
            <w:tcW w:w="2608" w:type="dxa"/>
            <w:vAlign w:val="bottom"/>
          </w:tcPr>
          <w:p w:rsidR="00FD0884" w:rsidRDefault="00FD0884" w:rsidP="006071D1">
            <w:pPr>
              <w:jc w:val="left"/>
            </w:pPr>
            <w:r>
              <w:t>approximately 1</w:t>
            </w:r>
          </w:p>
        </w:tc>
        <w:tc>
          <w:tcPr>
            <w:tcW w:w="364" w:type="dxa"/>
            <w:vAlign w:val="bottom"/>
          </w:tcPr>
          <w:p w:rsidR="00FD0884" w:rsidRDefault="00FD0884" w:rsidP="006071D1">
            <w:pPr>
              <w:jc w:val="left"/>
            </w:pPr>
          </w:p>
        </w:tc>
        <w:tc>
          <w:tcPr>
            <w:tcW w:w="1302" w:type="dxa"/>
            <w:vAlign w:val="bottom"/>
          </w:tcPr>
          <w:p w:rsidR="00FD0884" w:rsidRDefault="00FD0884" w:rsidP="006071D1">
            <w:pPr>
              <w:jc w:val="left"/>
            </w:pPr>
            <w:r>
              <w:t>for</w:t>
            </w:r>
          </w:p>
        </w:tc>
        <w:tc>
          <w:tcPr>
            <w:tcW w:w="2729" w:type="dxa"/>
          </w:tcPr>
          <w:p w:rsidR="00FD0884" w:rsidRDefault="00FD0884" w:rsidP="00677053">
            <w:pPr>
              <w:jc w:val="left"/>
            </w:pPr>
            <w:r>
              <w:t> </w:t>
            </w:r>
            <w:r>
              <w:t>  |</w:t>
            </w:r>
            <w:r>
              <w:rPr>
                <w:sz w:val="16"/>
              </w:rPr>
              <w:t> </w:t>
            </w:r>
            <w:r>
              <w:rPr>
                <w:i/>
              </w:rPr>
              <w:t>f</w:t>
            </w:r>
            <w:r>
              <w:rPr>
                <w:sz w:val="16"/>
              </w:rPr>
              <w:t> </w:t>
            </w:r>
            <w:r>
              <w:t>| </w:t>
            </w:r>
            <w:r w:rsidR="00677053">
              <w:t>&lt;</w:t>
            </w:r>
            <w:r>
              <w:t> 1</w:t>
            </w:r>
            <w:r>
              <w:rPr>
                <w:sz w:val="12"/>
              </w:rPr>
              <w:t> </w:t>
            </w:r>
            <w:r>
              <w:t>920 Hz</w:t>
            </w:r>
          </w:p>
        </w:tc>
      </w:tr>
      <w:tr w:rsidR="00FD0884" w:rsidTr="006071D1">
        <w:tc>
          <w:tcPr>
            <w:tcW w:w="2608" w:type="dxa"/>
            <w:vAlign w:val="bottom"/>
          </w:tcPr>
          <w:p w:rsidR="00FD0884" w:rsidRDefault="00FD0884" w:rsidP="00677053">
            <w:pPr>
              <w:jc w:val="left"/>
              <w:rPr>
                <w:lang w:val="en-GB"/>
              </w:rPr>
            </w:pPr>
            <w:r>
              <w:rPr>
                <w:lang w:val="en-GB"/>
              </w:rPr>
              <w:t>0.5 </w:t>
            </w:r>
            <w:r w:rsidR="00677053">
              <w:rPr>
                <w:lang w:val="en-GB"/>
              </w:rPr>
              <w:t>+</w:t>
            </w:r>
            <w:r>
              <w:rPr>
                <w:lang w:val="en-GB"/>
              </w:rPr>
              <w:t> 0.5 cos (2</w:t>
            </w:r>
            <w:r>
              <w:sym w:font="Symbol" w:char="F070"/>
            </w:r>
            <w:r>
              <w:rPr>
                <w:lang w:val="en-GB"/>
              </w:rPr>
              <w:t xml:space="preserve"> </w:t>
            </w:r>
            <w:r>
              <w:rPr>
                <w:i/>
                <w:lang w:val="en-GB"/>
              </w:rPr>
              <w:t>f</w:t>
            </w:r>
            <w:r>
              <w:rPr>
                <w:sz w:val="16"/>
                <w:lang w:val="en-GB"/>
              </w:rPr>
              <w:t> </w:t>
            </w:r>
            <w:r>
              <w:rPr>
                <w:lang w:val="en-GB"/>
              </w:rPr>
              <w:t>/</w:t>
            </w:r>
            <w:r>
              <w:rPr>
                <w:sz w:val="16"/>
                <w:lang w:val="en-GB"/>
              </w:rPr>
              <w:t> </w:t>
            </w:r>
            <w:r>
              <w:rPr>
                <w:lang w:val="en-GB"/>
              </w:rPr>
              <w:t>1</w:t>
            </w:r>
            <w:r>
              <w:rPr>
                <w:sz w:val="12"/>
                <w:lang w:val="en-GB"/>
              </w:rPr>
              <w:t> </w:t>
            </w:r>
            <w:r>
              <w:rPr>
                <w:lang w:val="en-GB"/>
              </w:rPr>
              <w:t>920)</w:t>
            </w:r>
          </w:p>
        </w:tc>
        <w:tc>
          <w:tcPr>
            <w:tcW w:w="364" w:type="dxa"/>
            <w:vAlign w:val="bottom"/>
          </w:tcPr>
          <w:p w:rsidR="00FD0884" w:rsidRDefault="00FD0884" w:rsidP="006071D1">
            <w:pPr>
              <w:jc w:val="left"/>
              <w:rPr>
                <w:lang w:val="en-GB"/>
              </w:rPr>
            </w:pPr>
          </w:p>
        </w:tc>
        <w:tc>
          <w:tcPr>
            <w:tcW w:w="1302" w:type="dxa"/>
            <w:vAlign w:val="bottom"/>
          </w:tcPr>
          <w:p w:rsidR="00FD0884" w:rsidRDefault="00FD0884" w:rsidP="006071D1">
            <w:pPr>
              <w:jc w:val="left"/>
              <w:rPr>
                <w:lang w:val="en-GB"/>
              </w:rPr>
            </w:pPr>
            <w:r>
              <w:rPr>
                <w:lang w:val="en-GB"/>
              </w:rPr>
              <w:t>for 1</w:t>
            </w:r>
            <w:r>
              <w:rPr>
                <w:sz w:val="12"/>
                <w:lang w:val="en-GB"/>
              </w:rPr>
              <w:t> </w:t>
            </w:r>
            <w:r>
              <w:rPr>
                <w:lang w:val="en-GB"/>
              </w:rPr>
              <w:t>920 Hz</w:t>
            </w:r>
          </w:p>
        </w:tc>
        <w:tc>
          <w:tcPr>
            <w:tcW w:w="2729" w:type="dxa"/>
          </w:tcPr>
          <w:p w:rsidR="00FD0884" w:rsidRDefault="00677053" w:rsidP="00677053">
            <w:pPr>
              <w:jc w:val="left"/>
            </w:pPr>
            <w:r>
              <w:t>&lt;</w:t>
            </w:r>
            <w:r w:rsidR="00FD0884">
              <w:t>  |</w:t>
            </w:r>
            <w:r w:rsidR="00FD0884">
              <w:rPr>
                <w:sz w:val="16"/>
              </w:rPr>
              <w:t> </w:t>
            </w:r>
            <w:r w:rsidR="00FD0884">
              <w:rPr>
                <w:i/>
              </w:rPr>
              <w:t>f</w:t>
            </w:r>
            <w:r w:rsidR="00FD0884">
              <w:rPr>
                <w:sz w:val="16"/>
              </w:rPr>
              <w:t> </w:t>
            </w:r>
            <w:r w:rsidR="00FD0884">
              <w:t>| </w:t>
            </w:r>
            <w:r>
              <w:t>&lt;</w:t>
            </w:r>
            <w:r w:rsidR="00FD0884">
              <w:t> 2</w:t>
            </w:r>
            <w:r w:rsidR="00FD0884">
              <w:rPr>
                <w:sz w:val="12"/>
              </w:rPr>
              <w:t> </w:t>
            </w:r>
            <w:r w:rsidR="00FD0884">
              <w:t>880 Hz</w:t>
            </w:r>
          </w:p>
        </w:tc>
      </w:tr>
      <w:tr w:rsidR="00FD0884" w:rsidTr="006071D1">
        <w:tc>
          <w:tcPr>
            <w:tcW w:w="2608" w:type="dxa"/>
            <w:vAlign w:val="bottom"/>
          </w:tcPr>
          <w:p w:rsidR="00FD0884" w:rsidRDefault="00FD0884" w:rsidP="006071D1">
            <w:pPr>
              <w:jc w:val="left"/>
            </w:pPr>
            <w:r>
              <w:t>0</w:t>
            </w:r>
          </w:p>
        </w:tc>
        <w:tc>
          <w:tcPr>
            <w:tcW w:w="364" w:type="dxa"/>
            <w:vAlign w:val="bottom"/>
          </w:tcPr>
          <w:p w:rsidR="00FD0884" w:rsidRDefault="00FD0884" w:rsidP="006071D1">
            <w:pPr>
              <w:jc w:val="left"/>
            </w:pPr>
          </w:p>
        </w:tc>
        <w:tc>
          <w:tcPr>
            <w:tcW w:w="1302" w:type="dxa"/>
            <w:vAlign w:val="bottom"/>
          </w:tcPr>
          <w:p w:rsidR="00FD0884" w:rsidRDefault="00FD0884" w:rsidP="006071D1">
            <w:pPr>
              <w:jc w:val="left"/>
              <w:rPr>
                <w:lang w:val="en-GB"/>
              </w:rPr>
            </w:pPr>
            <w:r>
              <w:rPr>
                <w:lang w:val="en-GB"/>
              </w:rPr>
              <w:t>for</w:t>
            </w:r>
          </w:p>
        </w:tc>
        <w:tc>
          <w:tcPr>
            <w:tcW w:w="2729" w:type="dxa"/>
          </w:tcPr>
          <w:p w:rsidR="00FD0884" w:rsidRDefault="00FD0884" w:rsidP="00677053">
            <w:pPr>
              <w:jc w:val="left"/>
              <w:rPr>
                <w:lang w:val="en-GB"/>
              </w:rPr>
            </w:pPr>
            <w:r>
              <w:t> </w:t>
            </w:r>
            <w:r>
              <w:rPr>
                <w:lang w:val="en-GB"/>
              </w:rPr>
              <w:t>  |</w:t>
            </w:r>
            <w:r>
              <w:rPr>
                <w:sz w:val="16"/>
                <w:lang w:val="en-GB"/>
              </w:rPr>
              <w:t> </w:t>
            </w:r>
            <w:r>
              <w:rPr>
                <w:i/>
                <w:lang w:val="en-GB"/>
              </w:rPr>
              <w:t>f</w:t>
            </w:r>
            <w:r>
              <w:rPr>
                <w:sz w:val="16"/>
                <w:lang w:val="en-GB"/>
              </w:rPr>
              <w:t> </w:t>
            </w:r>
            <w:r>
              <w:rPr>
                <w:lang w:val="en-GB"/>
              </w:rPr>
              <w:t>| </w:t>
            </w:r>
            <w:r w:rsidR="00677053">
              <w:rPr>
                <w:lang w:val="en-GB"/>
              </w:rPr>
              <w:t>≥</w:t>
            </w:r>
            <w:r>
              <w:rPr>
                <w:lang w:val="en-GB"/>
              </w:rPr>
              <w:t> 2</w:t>
            </w:r>
            <w:r>
              <w:rPr>
                <w:sz w:val="12"/>
                <w:lang w:val="en-GB"/>
              </w:rPr>
              <w:t> </w:t>
            </w:r>
            <w:r>
              <w:rPr>
                <w:lang w:val="en-GB"/>
              </w:rPr>
              <w:t>880 Hz</w:t>
            </w:r>
          </w:p>
        </w:tc>
      </w:tr>
    </w:tbl>
    <w:p w:rsidR="00FD0884" w:rsidRDefault="00FD0884" w:rsidP="00FD0884">
      <w:pPr>
        <w:pStyle w:val="Tablefin"/>
      </w:pPr>
    </w:p>
    <w:p w:rsidR="00FD0884" w:rsidRDefault="00FD0884" w:rsidP="00FD0884">
      <w:pPr>
        <w:pStyle w:val="Heading4"/>
        <w:rPr>
          <w:lang w:val="en-GB"/>
        </w:rPr>
      </w:pPr>
      <w:r>
        <w:rPr>
          <w:lang w:val="en-GB"/>
        </w:rPr>
        <w:t>2.9.5.3</w:t>
      </w:r>
      <w:r>
        <w:rPr>
          <w:lang w:val="en-GB"/>
        </w:rPr>
        <w:tab/>
        <w:t>C4FM shaping filter</w:t>
      </w:r>
    </w:p>
    <w:p w:rsidR="00FD0884" w:rsidRDefault="00FD0884" w:rsidP="00677053">
      <w:pPr>
        <w:rPr>
          <w:lang w:val="en-GB"/>
        </w:rPr>
      </w:pPr>
      <w:r>
        <w:rPr>
          <w:lang w:val="en-GB"/>
        </w:rPr>
        <w:t>The shaping filter has a flat group delay over the band-pass for |</w:t>
      </w:r>
      <w:r>
        <w:rPr>
          <w:sz w:val="16"/>
          <w:lang w:val="en-GB"/>
        </w:rPr>
        <w:t> </w:t>
      </w:r>
      <w:r>
        <w:rPr>
          <w:i/>
          <w:lang w:val="en-GB"/>
        </w:rPr>
        <w:t>f</w:t>
      </w:r>
      <w:r>
        <w:rPr>
          <w:sz w:val="16"/>
          <w:lang w:val="en-GB"/>
        </w:rPr>
        <w:t> </w:t>
      </w:r>
      <w:r>
        <w:rPr>
          <w:lang w:val="en-GB"/>
        </w:rPr>
        <w:t>| </w:t>
      </w:r>
      <w:r w:rsidR="00677053" w:rsidRPr="00677053">
        <w:rPr>
          <w:lang w:val="en-US"/>
        </w:rPr>
        <w:t>&lt;</w:t>
      </w:r>
      <w:r>
        <w:rPr>
          <w:lang w:val="en-GB"/>
        </w:rPr>
        <w:t> 2</w:t>
      </w:r>
      <w:r>
        <w:rPr>
          <w:sz w:val="12"/>
          <w:lang w:val="en-GB"/>
        </w:rPr>
        <w:t> </w:t>
      </w:r>
      <w:r>
        <w:rPr>
          <w:lang w:val="en-GB"/>
        </w:rPr>
        <w:t>880 Hz. The magnitude response of the filter for  |</w:t>
      </w:r>
      <w:r>
        <w:rPr>
          <w:sz w:val="16"/>
          <w:lang w:val="en-GB"/>
        </w:rPr>
        <w:t> </w:t>
      </w:r>
      <w:r>
        <w:rPr>
          <w:i/>
          <w:lang w:val="en-GB"/>
        </w:rPr>
        <w:t>f</w:t>
      </w:r>
      <w:r>
        <w:rPr>
          <w:sz w:val="16"/>
          <w:lang w:val="en-GB"/>
        </w:rPr>
        <w:t> </w:t>
      </w:r>
      <w:r>
        <w:rPr>
          <w:lang w:val="en-GB"/>
        </w:rPr>
        <w:t>|</w:t>
      </w:r>
      <w:r w:rsidR="00677053" w:rsidRPr="00677053">
        <w:rPr>
          <w:lang w:val="en-US"/>
        </w:rPr>
        <w:t>&lt;</w:t>
      </w:r>
      <w:r>
        <w:rPr>
          <w:lang w:val="en-GB"/>
        </w:rPr>
        <w:t> 2</w:t>
      </w:r>
      <w:r>
        <w:rPr>
          <w:sz w:val="12"/>
          <w:lang w:val="en-GB"/>
        </w:rPr>
        <w:t> </w:t>
      </w:r>
      <w:r>
        <w:rPr>
          <w:lang w:val="en-GB"/>
        </w:rPr>
        <w:t>880 Hz is (</w:t>
      </w:r>
      <w:r>
        <w:sym w:font="Symbol" w:char="F070"/>
      </w:r>
      <w:r>
        <w:rPr>
          <w:lang w:val="en-GB"/>
        </w:rPr>
        <w:t xml:space="preserve"> </w:t>
      </w:r>
      <w:r>
        <w:rPr>
          <w:i/>
          <w:lang w:val="en-GB"/>
        </w:rPr>
        <w:t>f</w:t>
      </w:r>
      <w:r>
        <w:rPr>
          <w:sz w:val="16"/>
          <w:lang w:val="en-GB"/>
        </w:rPr>
        <w:t> </w:t>
      </w:r>
      <w:r>
        <w:rPr>
          <w:lang w:val="en-GB"/>
        </w:rPr>
        <w:t>/</w:t>
      </w:r>
      <w:r>
        <w:rPr>
          <w:sz w:val="16"/>
          <w:lang w:val="en-GB"/>
        </w:rPr>
        <w:t> </w:t>
      </w:r>
      <w:r>
        <w:rPr>
          <w:lang w:val="en-GB"/>
        </w:rPr>
        <w:t>4</w:t>
      </w:r>
      <w:r>
        <w:rPr>
          <w:sz w:val="12"/>
          <w:lang w:val="en-GB"/>
        </w:rPr>
        <w:t> </w:t>
      </w:r>
      <w:r>
        <w:rPr>
          <w:lang w:val="en-GB"/>
        </w:rPr>
        <w:t>800)/sin(</w:t>
      </w:r>
      <w:r>
        <w:sym w:font="Symbol" w:char="F070"/>
      </w:r>
      <w:r>
        <w:rPr>
          <w:lang w:val="en-GB"/>
        </w:rPr>
        <w:t xml:space="preserve"> </w:t>
      </w:r>
      <w:r>
        <w:rPr>
          <w:i/>
          <w:lang w:val="en-GB"/>
        </w:rPr>
        <w:t>f</w:t>
      </w:r>
      <w:r>
        <w:rPr>
          <w:sz w:val="16"/>
          <w:lang w:val="en-GB"/>
        </w:rPr>
        <w:t> </w:t>
      </w:r>
      <w:r>
        <w:rPr>
          <w:lang w:val="en-GB"/>
        </w:rPr>
        <w:t>/</w:t>
      </w:r>
      <w:r>
        <w:rPr>
          <w:sz w:val="16"/>
          <w:lang w:val="en-GB"/>
        </w:rPr>
        <w:t> </w:t>
      </w:r>
      <w:r>
        <w:rPr>
          <w:lang w:val="en-GB"/>
        </w:rPr>
        <w:t>4</w:t>
      </w:r>
      <w:r>
        <w:rPr>
          <w:sz w:val="12"/>
          <w:lang w:val="en-GB"/>
        </w:rPr>
        <w:t> </w:t>
      </w:r>
      <w:r>
        <w:rPr>
          <w:lang w:val="en-GB"/>
        </w:rPr>
        <w:t>800).</w:t>
      </w:r>
    </w:p>
    <w:p w:rsidR="00FD0884" w:rsidRDefault="00FD0884" w:rsidP="00FD0884">
      <w:pPr>
        <w:pStyle w:val="Heading4"/>
        <w:rPr>
          <w:lang w:val="en-GB"/>
        </w:rPr>
      </w:pPr>
      <w:r>
        <w:rPr>
          <w:lang w:val="en-GB"/>
        </w:rPr>
        <w:t>2.9.5.4</w:t>
      </w:r>
      <w:r>
        <w:rPr>
          <w:lang w:val="en-GB"/>
        </w:rPr>
        <w:tab/>
        <w:t>C4FM frequency modulator</w:t>
      </w:r>
    </w:p>
    <w:p w:rsidR="00FD0884" w:rsidRDefault="00FD0884" w:rsidP="00677053">
      <w:pPr>
        <w:rPr>
          <w:lang w:val="en-GB"/>
        </w:rPr>
      </w:pPr>
      <w:r>
        <w:rPr>
          <w:lang w:val="en-GB"/>
        </w:rPr>
        <w:t xml:space="preserve">The deviation is </w:t>
      </w:r>
      <w:r w:rsidR="00677053">
        <w:rPr>
          <w:lang w:val="en-GB"/>
        </w:rPr>
        <w:t>+</w:t>
      </w:r>
      <w:r>
        <w:rPr>
          <w:lang w:val="en-GB"/>
        </w:rPr>
        <w:t xml:space="preserve">1.8 kHz for dibit 01, </w:t>
      </w:r>
      <w:r w:rsidR="00677053">
        <w:rPr>
          <w:lang w:val="en-GB"/>
        </w:rPr>
        <w:t>+</w:t>
      </w:r>
      <w:r>
        <w:rPr>
          <w:lang w:val="en-GB"/>
        </w:rPr>
        <w:t>0.6 kHz for dibit 00, –0.6 kHz for dibit 10, and –1.8 kHz for dibit 11.</w:t>
      </w:r>
    </w:p>
    <w:p w:rsidR="00A02F11" w:rsidRDefault="00A02F11" w:rsidP="00A02F11">
      <w:pPr>
        <w:pStyle w:val="AnnexNo"/>
        <w:rPr>
          <w:b/>
          <w:bCs/>
          <w:lang w:val="en-GB"/>
        </w:rPr>
      </w:pPr>
      <w:r>
        <w:rPr>
          <w:b/>
          <w:bCs/>
          <w:lang w:val="en-GB"/>
        </w:rPr>
        <w:br w:type="page"/>
      </w:r>
    </w:p>
    <w:p w:rsidR="00FD0884" w:rsidRPr="000A0A53" w:rsidRDefault="00FD0884" w:rsidP="00A02F11">
      <w:pPr>
        <w:pStyle w:val="AnnexNo"/>
        <w:rPr>
          <w:b/>
          <w:bCs/>
          <w:lang w:val="en-GB"/>
        </w:rPr>
      </w:pPr>
      <w:r w:rsidRPr="000A0A53">
        <w:rPr>
          <w:b/>
          <w:bCs/>
          <w:lang w:val="en-GB"/>
        </w:rPr>
        <w:lastRenderedPageBreak/>
        <w:t>A</w:t>
      </w:r>
      <w:r w:rsidR="00801E05" w:rsidRPr="000A0A53">
        <w:rPr>
          <w:b/>
          <w:bCs/>
          <w:lang w:val="en-GB"/>
        </w:rPr>
        <w:t>nnex</w:t>
      </w:r>
      <w:r w:rsidRPr="000A0A53">
        <w:rPr>
          <w:b/>
          <w:bCs/>
          <w:lang w:val="en-GB"/>
        </w:rPr>
        <w:t xml:space="preserve"> 4</w:t>
      </w:r>
    </w:p>
    <w:p w:rsidR="00FD0884" w:rsidRDefault="00FD0884" w:rsidP="00FD0884">
      <w:pPr>
        <w:pStyle w:val="Annextitle"/>
        <w:rPr>
          <w:lang w:val="en-GB"/>
        </w:rPr>
      </w:pPr>
      <w:r>
        <w:rPr>
          <w:lang w:val="en-GB"/>
        </w:rPr>
        <w:t>Assignment of channel numbers to interleaved channels and simplex operation</w:t>
      </w:r>
      <w:r>
        <w:rPr>
          <w:lang w:val="en-GB"/>
        </w:rPr>
        <w:br/>
        <w:t>of duplex channels in the VHF maritime band</w:t>
      </w:r>
    </w:p>
    <w:p w:rsidR="00FD0884" w:rsidRDefault="00FD0884" w:rsidP="00FD0884">
      <w:pPr>
        <w:pStyle w:val="Normalaftertitle"/>
        <w:rPr>
          <w:lang w:val="en-GB"/>
        </w:rPr>
      </w:pPr>
      <w:r>
        <w:rPr>
          <w:b/>
          <w:lang w:val="en-GB"/>
        </w:rPr>
        <w:t>1</w:t>
      </w:r>
      <w:r>
        <w:rPr>
          <w:b/>
          <w:lang w:val="en-GB"/>
        </w:rPr>
        <w:tab/>
      </w:r>
      <w:r>
        <w:rPr>
          <w:lang w:val="en-GB"/>
        </w:rPr>
        <w:t>For channel number assignments to interleaved narrow-band channels at 12.5 kHz offsets:</w:t>
      </w:r>
    </w:p>
    <w:p w:rsidR="00FD0884" w:rsidRDefault="00FD0884" w:rsidP="00FD0884">
      <w:pPr>
        <w:pStyle w:val="Index1"/>
        <w:rPr>
          <w:lang w:val="en-GB"/>
        </w:rPr>
      </w:pPr>
    </w:p>
    <w:tbl>
      <w:tblPr>
        <w:tblW w:w="9752" w:type="dxa"/>
        <w:jc w:val="center"/>
        <w:tblLayout w:type="fixed"/>
        <w:tblCellMar>
          <w:left w:w="0" w:type="dxa"/>
          <w:right w:w="0" w:type="dxa"/>
        </w:tblCellMar>
        <w:tblLook w:val="0000" w:firstRow="0" w:lastRow="0" w:firstColumn="0" w:lastColumn="0" w:noHBand="0" w:noVBand="0"/>
      </w:tblPr>
      <w:tblGrid>
        <w:gridCol w:w="1190"/>
        <w:gridCol w:w="1701"/>
        <w:gridCol w:w="1361"/>
        <w:gridCol w:w="1701"/>
        <w:gridCol w:w="1474"/>
        <w:gridCol w:w="2302"/>
        <w:gridCol w:w="23"/>
      </w:tblGrid>
      <w:tr w:rsidR="00FD0884" w:rsidTr="006071D1">
        <w:trPr>
          <w:jc w:val="center"/>
        </w:trPr>
        <w:tc>
          <w:tcPr>
            <w:tcW w:w="1190" w:type="dxa"/>
          </w:tcPr>
          <w:p w:rsidR="00FD0884" w:rsidRPr="00FD0884" w:rsidRDefault="00FD0884" w:rsidP="006071D1">
            <w:pPr>
              <w:pStyle w:val="Tabletext"/>
              <w:framePr w:hSpace="181" w:wrap="notBeside" w:vAnchor="text" w:hAnchor="text" w:xAlign="center" w:y="1"/>
              <w:jc w:val="center"/>
              <w:rPr>
                <w:sz w:val="18"/>
                <w:lang w:val="en-US"/>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CHANNEL</w:t>
            </w:r>
            <w:r>
              <w:rPr>
                <w:sz w:val="18"/>
                <w:lang w:val="en-GB"/>
              </w:rPr>
              <w:br/>
              <w:t>NUMBER</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SHIP</w:t>
            </w:r>
          </w:p>
        </w:tc>
        <w:tc>
          <w:tcPr>
            <w:tcW w:w="1474" w:type="dxa"/>
          </w:tcPr>
          <w:p w:rsidR="00FD0884" w:rsidRDefault="00FD0884" w:rsidP="006071D1">
            <w:pPr>
              <w:pStyle w:val="Tabletext"/>
              <w:framePr w:hSpace="181" w:wrap="notBeside" w:vAnchor="text" w:hAnchor="text" w:xAlign="center" w:y="1"/>
              <w:jc w:val="center"/>
              <w:rPr>
                <w:sz w:val="18"/>
                <w:lang w:val="en-GB"/>
              </w:rPr>
            </w:pPr>
            <w:r>
              <w:rPr>
                <w:sz w:val="18"/>
                <w:lang w:val="en-GB"/>
              </w:rPr>
              <w:t>SHIP &amp; COAST</w:t>
            </w:r>
          </w:p>
        </w:tc>
        <w:tc>
          <w:tcPr>
            <w:tcW w:w="2325" w:type="dxa"/>
            <w:gridSpan w:val="2"/>
          </w:tcPr>
          <w:p w:rsidR="00FD0884" w:rsidRDefault="00FD0884" w:rsidP="006071D1">
            <w:pPr>
              <w:pStyle w:val="Tabletext"/>
              <w:framePr w:hSpace="181" w:wrap="notBeside" w:vAnchor="text" w:hAnchor="text" w:xAlign="center" w:y="1"/>
              <w:jc w:val="center"/>
              <w:rPr>
                <w:sz w:val="18"/>
                <w:lang w:val="en-GB"/>
              </w:rPr>
            </w:pPr>
            <w:r>
              <w:rPr>
                <w:sz w:val="18"/>
                <w:lang w:val="en-GB"/>
              </w:rPr>
              <w:t>COAST</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First 25 kHz Channel</w:t>
            </w: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Interleaved 12.5 kHz</w:t>
            </w:r>
            <w:r>
              <w:rPr>
                <w:sz w:val="18"/>
                <w:lang w:val="en-GB"/>
              </w:rPr>
              <w:br/>
              <w:t>Channel</w:t>
            </w: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 xml:space="preserve">Second </w:t>
            </w:r>
            <w:r>
              <w:rPr>
                <w:sz w:val="18"/>
                <w:lang w:val="en-GB"/>
              </w:rPr>
              <w:br/>
              <w:t>25 kHz Channel</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474" w:type="dxa"/>
          </w:tcPr>
          <w:p w:rsidR="00FD0884" w:rsidRDefault="00FD0884" w:rsidP="006071D1">
            <w:pPr>
              <w:pStyle w:val="Tabletext"/>
              <w:framePr w:hSpace="181" w:wrap="notBeside" w:vAnchor="text" w:hAnchor="text" w:xAlign="center" w:y="1"/>
              <w:jc w:val="center"/>
              <w:rPr>
                <w:sz w:val="18"/>
                <w:lang w:val="en-GB"/>
              </w:rPr>
            </w:pPr>
          </w:p>
        </w:tc>
        <w:tc>
          <w:tcPr>
            <w:tcW w:w="2325" w:type="dxa"/>
            <w:gridSpan w:val="2"/>
          </w:tcPr>
          <w:p w:rsidR="00FD0884" w:rsidRDefault="00FD0884" w:rsidP="006071D1">
            <w:pPr>
              <w:pStyle w:val="Tabletext"/>
              <w:framePr w:hSpace="181" w:wrap="notBeside" w:vAnchor="text" w:hAnchor="text" w:xAlign="center" w:y="1"/>
              <w:jc w:val="center"/>
              <w:rPr>
                <w:sz w:val="18"/>
                <w:lang w:val="en-GB"/>
              </w:rPr>
            </w:pP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60</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156.025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rPr>
              <w:t>160</w:t>
            </w:r>
            <w:r>
              <w:rPr>
                <w:sz w:val="18"/>
                <w:lang w:val="en-GB"/>
              </w:rPr>
              <w:t>.625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260</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0375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160.6375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01</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050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650</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201</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0625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6625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61</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075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675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261</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0875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6875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02</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160.700</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202</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160.7125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62</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262</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160.7375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03</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160.750</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203</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7625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63</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156.175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160.775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263</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1875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7875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04</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800</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204</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8125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64</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160.825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264</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160.8375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05</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850</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205</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8625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65</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275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160.875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265</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156.2875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160.</w:t>
            </w:r>
            <w:r>
              <w:rPr>
                <w:sz w:val="18"/>
              </w:rPr>
              <w:t>8875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06</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lang w:val="en-GB"/>
              </w:rPr>
              <w:t>156.</w:t>
            </w:r>
            <w:r>
              <w:rPr>
                <w:sz w:val="18"/>
              </w:rPr>
              <w:t>300</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206</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3125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rPr>
              <w:t>160</w:t>
            </w:r>
            <w:r>
              <w:rPr>
                <w:sz w:val="18"/>
                <w:lang w:val="en-GB"/>
              </w:rPr>
              <w:t>.</w:t>
            </w:r>
            <w:r>
              <w:rPr>
                <w:sz w:val="18"/>
              </w:rPr>
              <w:t>9125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66</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325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rPr>
              <w:t>160</w:t>
            </w:r>
            <w:r>
              <w:rPr>
                <w:sz w:val="18"/>
                <w:lang w:val="en-GB"/>
              </w:rPr>
              <w:t>.925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266</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3375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rPr>
              <w:t>160</w:t>
            </w:r>
            <w:r>
              <w:rPr>
                <w:sz w:val="18"/>
                <w:lang w:val="en-GB"/>
              </w:rPr>
              <w:t>.9375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07</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350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rPr>
              <w:t>160.950</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207</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156.</w:t>
            </w:r>
            <w:r>
              <w:rPr>
                <w:sz w:val="18"/>
              </w:rPr>
              <w:t>3625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rPr>
              <w:t>160.9625</w:t>
            </w: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rPr>
              <w:t>67</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rPr>
              <w:t>156.375</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rPr>
              <w:t>267</w:t>
            </w: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156.3875</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rPr>
              <w:t>08</w:t>
            </w:r>
          </w:p>
        </w:tc>
        <w:tc>
          <w:tcPr>
            <w:tcW w:w="1701" w:type="dxa"/>
          </w:tcPr>
          <w:p w:rsidR="00FD0884" w:rsidRDefault="00FD0884" w:rsidP="006071D1">
            <w:pPr>
              <w:pStyle w:val="Tabletext"/>
              <w:framePr w:hSpace="181" w:wrap="notBeside" w:vAnchor="text" w:hAnchor="text" w:xAlign="center" w:y="1"/>
              <w:jc w:val="center"/>
              <w:rPr>
                <w:sz w:val="18"/>
              </w:rPr>
            </w:pP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156.400</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jc w:val="center"/>
              <w:rPr>
                <w:sz w:val="18"/>
              </w:rPr>
            </w:pPr>
            <w:r>
              <w:rPr>
                <w:sz w:val="18"/>
              </w:rPr>
              <w:t>208</w:t>
            </w: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156.4125</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jc w:val="center"/>
              <w:rPr>
                <w:sz w:val="18"/>
              </w:rPr>
            </w:pPr>
          </w:p>
        </w:tc>
        <w:tc>
          <w:tcPr>
            <w:tcW w:w="1361" w:type="dxa"/>
          </w:tcPr>
          <w:p w:rsidR="00FD0884" w:rsidRDefault="00FD0884" w:rsidP="006071D1">
            <w:pPr>
              <w:pStyle w:val="Tabletext"/>
              <w:framePr w:hSpace="181" w:wrap="notBeside" w:vAnchor="text" w:hAnchor="text" w:xAlign="center" w:y="1"/>
              <w:jc w:val="center"/>
              <w:rPr>
                <w:sz w:val="18"/>
              </w:rPr>
            </w:pPr>
            <w:r>
              <w:rPr>
                <w:sz w:val="18"/>
              </w:rPr>
              <w:t>68</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156.425</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23" w:type="dxa"/>
          <w:jc w:val="center"/>
        </w:trPr>
        <w:tc>
          <w:tcPr>
            <w:tcW w:w="1190"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jc w:val="center"/>
              <w:rPr>
                <w:sz w:val="18"/>
              </w:rPr>
            </w:pPr>
            <w:r>
              <w:rPr>
                <w:sz w:val="18"/>
              </w:rPr>
              <w:t>268</w:t>
            </w: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156.4375</w:t>
            </w:r>
          </w:p>
        </w:tc>
        <w:tc>
          <w:tcPr>
            <w:tcW w:w="2302"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bl>
    <w:p w:rsidR="00FD0884" w:rsidRDefault="00FD0884" w:rsidP="00FD0884">
      <w:pPr>
        <w:pStyle w:val="Tablefin"/>
      </w:pPr>
      <w:bookmarkStart w:id="3" w:name="_GoBack"/>
      <w:bookmarkEnd w:id="3"/>
    </w:p>
    <w:p w:rsidR="00FD0884" w:rsidRDefault="00FD0884" w:rsidP="00FD0884">
      <w:pPr>
        <w:rPr>
          <w:lang w:val="en-GB"/>
        </w:rPr>
      </w:pPr>
    </w:p>
    <w:tbl>
      <w:tblPr>
        <w:tblW w:w="9752" w:type="dxa"/>
        <w:jc w:val="center"/>
        <w:tblLayout w:type="fixed"/>
        <w:tblCellMar>
          <w:left w:w="0" w:type="dxa"/>
          <w:right w:w="0" w:type="dxa"/>
        </w:tblCellMar>
        <w:tblLook w:val="0000" w:firstRow="0" w:lastRow="0" w:firstColumn="0" w:lastColumn="0" w:noHBand="0" w:noVBand="0"/>
      </w:tblPr>
      <w:tblGrid>
        <w:gridCol w:w="1184"/>
        <w:gridCol w:w="1691"/>
        <w:gridCol w:w="1353"/>
        <w:gridCol w:w="1691"/>
        <w:gridCol w:w="1465"/>
        <w:gridCol w:w="2311"/>
        <w:gridCol w:w="57"/>
      </w:tblGrid>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jc w:val="center"/>
              <w:rPr>
                <w:sz w:val="18"/>
                <w:lang w:val="en-GB"/>
              </w:rPr>
            </w:pPr>
            <w:r>
              <w:rPr>
                <w:sz w:val="18"/>
                <w:lang w:val="en-GB"/>
              </w:rPr>
              <w:t>CHANNEL</w:t>
            </w:r>
            <w:r>
              <w:rPr>
                <w:sz w:val="18"/>
                <w:lang w:val="en-GB"/>
              </w:rPr>
              <w:br/>
              <w:t>NUMBER</w:t>
            </w:r>
          </w:p>
        </w:tc>
        <w:tc>
          <w:tcPr>
            <w:tcW w:w="1353"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jc w:val="center"/>
              <w:rPr>
                <w:sz w:val="18"/>
                <w:lang w:val="en-GB"/>
              </w:rPr>
            </w:pPr>
            <w:r>
              <w:rPr>
                <w:sz w:val="18"/>
                <w:lang w:val="en-GB"/>
              </w:rPr>
              <w:t>SHIP</w:t>
            </w:r>
          </w:p>
        </w:tc>
        <w:tc>
          <w:tcPr>
            <w:tcW w:w="1465" w:type="dxa"/>
          </w:tcPr>
          <w:p w:rsidR="00FD0884" w:rsidRDefault="00FD0884" w:rsidP="006071D1">
            <w:pPr>
              <w:pStyle w:val="Tabletext"/>
              <w:framePr w:hSpace="181" w:wrap="notBeside" w:vAnchor="text" w:hAnchor="text" w:xAlign="center" w:y="1"/>
              <w:jc w:val="center"/>
              <w:rPr>
                <w:sz w:val="18"/>
                <w:lang w:val="en-GB"/>
              </w:rPr>
            </w:pPr>
            <w:r>
              <w:rPr>
                <w:sz w:val="18"/>
                <w:lang w:val="en-GB"/>
              </w:rPr>
              <w:t>SHIP &amp; COAST</w:t>
            </w:r>
          </w:p>
        </w:tc>
        <w:tc>
          <w:tcPr>
            <w:tcW w:w="2311" w:type="dxa"/>
          </w:tcPr>
          <w:p w:rsidR="00FD0884" w:rsidRDefault="00FD0884" w:rsidP="006071D1">
            <w:pPr>
              <w:pStyle w:val="Tabletext"/>
              <w:framePr w:hSpace="181" w:wrap="notBeside" w:vAnchor="text" w:hAnchor="text" w:xAlign="center" w:y="1"/>
              <w:jc w:val="center"/>
              <w:rPr>
                <w:sz w:val="18"/>
                <w:lang w:val="en-GB"/>
              </w:rPr>
            </w:pPr>
            <w:r>
              <w:rPr>
                <w:sz w:val="18"/>
                <w:lang w:val="en-GB"/>
              </w:rPr>
              <w:t>COAST</w:t>
            </w: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jc w:val="center"/>
              <w:rPr>
                <w:sz w:val="18"/>
                <w:lang w:val="en-GB"/>
              </w:rPr>
            </w:pPr>
            <w:r>
              <w:rPr>
                <w:sz w:val="18"/>
                <w:lang w:val="en-GB"/>
              </w:rPr>
              <w:t>First 25 kHz Channel</w:t>
            </w:r>
          </w:p>
        </w:tc>
        <w:tc>
          <w:tcPr>
            <w:tcW w:w="1691" w:type="dxa"/>
          </w:tcPr>
          <w:p w:rsidR="00FD0884" w:rsidRDefault="00FD0884" w:rsidP="006071D1">
            <w:pPr>
              <w:pStyle w:val="Tabletext"/>
              <w:framePr w:hSpace="181" w:wrap="notBeside" w:vAnchor="text" w:hAnchor="text" w:xAlign="center" w:y="1"/>
              <w:jc w:val="center"/>
              <w:rPr>
                <w:sz w:val="18"/>
                <w:lang w:val="en-GB"/>
              </w:rPr>
            </w:pPr>
            <w:r>
              <w:rPr>
                <w:sz w:val="18"/>
                <w:lang w:val="en-GB"/>
              </w:rPr>
              <w:t>Interleaved 12.5 kHz</w:t>
            </w:r>
            <w:r>
              <w:rPr>
                <w:sz w:val="18"/>
                <w:lang w:val="en-GB"/>
              </w:rPr>
              <w:br/>
              <w:t>Channel</w:t>
            </w:r>
          </w:p>
        </w:tc>
        <w:tc>
          <w:tcPr>
            <w:tcW w:w="1353" w:type="dxa"/>
          </w:tcPr>
          <w:p w:rsidR="00FD0884" w:rsidRDefault="00FD0884" w:rsidP="006071D1">
            <w:pPr>
              <w:pStyle w:val="Tabletext"/>
              <w:framePr w:hSpace="181" w:wrap="notBeside" w:vAnchor="text" w:hAnchor="text" w:xAlign="center" w:y="1"/>
              <w:jc w:val="center"/>
              <w:rPr>
                <w:sz w:val="18"/>
                <w:lang w:val="en-GB"/>
              </w:rPr>
            </w:pPr>
            <w:r>
              <w:rPr>
                <w:sz w:val="18"/>
                <w:lang w:val="en-GB"/>
              </w:rPr>
              <w:t>Second 25 kHz Channel</w:t>
            </w:r>
          </w:p>
        </w:tc>
        <w:tc>
          <w:tcPr>
            <w:tcW w:w="1691" w:type="dxa"/>
          </w:tcPr>
          <w:p w:rsidR="00FD0884" w:rsidRDefault="00FD0884" w:rsidP="006071D1">
            <w:pPr>
              <w:pStyle w:val="Tabletext"/>
              <w:framePr w:hSpace="181" w:wrap="notBeside" w:vAnchor="text" w:hAnchor="text" w:xAlign="center" w:y="1"/>
              <w:jc w:val="center"/>
              <w:rPr>
                <w:sz w:val="18"/>
                <w:lang w:val="en-GB"/>
              </w:rPr>
            </w:pPr>
          </w:p>
        </w:tc>
        <w:tc>
          <w:tcPr>
            <w:tcW w:w="1465" w:type="dxa"/>
          </w:tcPr>
          <w:p w:rsidR="00FD0884" w:rsidRDefault="00FD0884" w:rsidP="006071D1">
            <w:pPr>
              <w:pStyle w:val="Tabletext"/>
              <w:framePr w:hSpace="181" w:wrap="notBeside" w:vAnchor="text" w:hAnchor="text" w:xAlign="center" w:y="1"/>
              <w:jc w:val="center"/>
              <w:rPr>
                <w:sz w:val="18"/>
                <w:lang w:val="en-GB"/>
              </w:rPr>
            </w:pPr>
          </w:p>
        </w:tc>
        <w:tc>
          <w:tcPr>
            <w:tcW w:w="2311" w:type="dxa"/>
          </w:tcPr>
          <w:p w:rsidR="00FD0884" w:rsidRDefault="00FD0884" w:rsidP="006071D1">
            <w:pPr>
              <w:pStyle w:val="Tabletext"/>
              <w:framePr w:hSpace="181" w:wrap="notBeside" w:vAnchor="text" w:hAnchor="text" w:xAlign="center" w:y="1"/>
              <w:jc w:val="center"/>
              <w:rPr>
                <w:sz w:val="18"/>
                <w:lang w:val="en-GB"/>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jc w:val="center"/>
              <w:rPr>
                <w:sz w:val="18"/>
                <w:lang w:val="en-GB"/>
              </w:rPr>
            </w:pPr>
            <w:r>
              <w:rPr>
                <w:sz w:val="18"/>
              </w:rPr>
              <w:t>09</w:t>
            </w:r>
          </w:p>
        </w:tc>
        <w:tc>
          <w:tcPr>
            <w:tcW w:w="1691" w:type="dxa"/>
          </w:tcPr>
          <w:p w:rsidR="00FD0884" w:rsidRDefault="00FD0884" w:rsidP="006071D1">
            <w:pPr>
              <w:pStyle w:val="Tabletext"/>
              <w:framePr w:hSpace="181" w:wrap="notBeside" w:vAnchor="text" w:hAnchor="text" w:xAlign="center" w:y="1"/>
              <w:jc w:val="center"/>
              <w:rPr>
                <w:sz w:val="18"/>
                <w:lang w:val="en-GB"/>
              </w:rPr>
            </w:pPr>
          </w:p>
        </w:tc>
        <w:tc>
          <w:tcPr>
            <w:tcW w:w="1353"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rPr>
              <w:t>156.450</w:t>
            </w:r>
          </w:p>
        </w:tc>
        <w:tc>
          <w:tcPr>
            <w:tcW w:w="2311" w:type="dxa"/>
          </w:tcPr>
          <w:p w:rsidR="00FD0884" w:rsidRDefault="00FD0884" w:rsidP="006071D1">
            <w:pPr>
              <w:pStyle w:val="Tabletext"/>
              <w:framePr w:hSpace="181" w:wrap="notBeside" w:vAnchor="text" w:hAnchor="text" w:xAlign="center" w:y="1"/>
              <w:jc w:val="center"/>
              <w:rPr>
                <w:sz w:val="18"/>
                <w:lang w:val="en-GB"/>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jc w:val="center"/>
              <w:rPr>
                <w:sz w:val="18"/>
                <w:lang w:val="en-GB"/>
              </w:rPr>
            </w:pPr>
            <w:r>
              <w:rPr>
                <w:sz w:val="18"/>
              </w:rPr>
              <w:t>209</w:t>
            </w:r>
          </w:p>
        </w:tc>
        <w:tc>
          <w:tcPr>
            <w:tcW w:w="1353"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rPr>
              <w:t>156.4625</w:t>
            </w:r>
          </w:p>
        </w:tc>
        <w:tc>
          <w:tcPr>
            <w:tcW w:w="2311" w:type="dxa"/>
          </w:tcPr>
          <w:p w:rsidR="00FD0884" w:rsidRDefault="00FD0884" w:rsidP="006071D1">
            <w:pPr>
              <w:pStyle w:val="Tabletext"/>
              <w:framePr w:hSpace="181" w:wrap="notBeside" w:vAnchor="text" w:hAnchor="text" w:xAlign="center" w:y="1"/>
              <w:jc w:val="center"/>
              <w:rPr>
                <w:sz w:val="18"/>
                <w:lang w:val="en-GB"/>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jc w:val="center"/>
              <w:rPr>
                <w:sz w:val="18"/>
                <w:lang w:val="en-GB"/>
              </w:rPr>
            </w:pPr>
          </w:p>
        </w:tc>
        <w:tc>
          <w:tcPr>
            <w:tcW w:w="1691" w:type="dxa"/>
          </w:tcPr>
          <w:p w:rsidR="00FD0884" w:rsidRDefault="00FD0884" w:rsidP="006071D1">
            <w:pPr>
              <w:pStyle w:val="Tabletext"/>
              <w:framePr w:hSpace="181" w:wrap="notBeside" w:vAnchor="text" w:hAnchor="text" w:xAlign="center" w:y="1"/>
              <w:jc w:val="center"/>
              <w:rPr>
                <w:sz w:val="18"/>
                <w:lang w:val="en-GB"/>
              </w:rPr>
            </w:pPr>
          </w:p>
        </w:tc>
        <w:tc>
          <w:tcPr>
            <w:tcW w:w="1353" w:type="dxa"/>
          </w:tcPr>
          <w:p w:rsidR="00FD0884" w:rsidRDefault="00FD0884" w:rsidP="006071D1">
            <w:pPr>
              <w:pStyle w:val="Tabletext"/>
              <w:framePr w:hSpace="181" w:wrap="notBeside" w:vAnchor="text" w:hAnchor="text" w:xAlign="center" w:y="1"/>
              <w:jc w:val="center"/>
              <w:rPr>
                <w:sz w:val="18"/>
                <w:lang w:val="en-GB"/>
              </w:rPr>
            </w:pPr>
            <w:r>
              <w:rPr>
                <w:sz w:val="18"/>
              </w:rPr>
              <w:t>69</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rPr>
              <w:t>156.475</w:t>
            </w:r>
          </w:p>
        </w:tc>
        <w:tc>
          <w:tcPr>
            <w:tcW w:w="2311" w:type="dxa"/>
          </w:tcPr>
          <w:p w:rsidR="00FD0884" w:rsidRDefault="00FD0884" w:rsidP="006071D1">
            <w:pPr>
              <w:pStyle w:val="Tabletext"/>
              <w:framePr w:hSpace="181" w:wrap="notBeside" w:vAnchor="text" w:hAnchor="text" w:xAlign="center" w:y="1"/>
              <w:jc w:val="center"/>
              <w:rPr>
                <w:sz w:val="18"/>
                <w:lang w:val="en-GB"/>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269</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156.4875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10</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156.500</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210</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156.5125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rPr>
              <w:tab/>
              <w:t>DSC Guardband</w:t>
            </w: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70</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sz w:val="18"/>
                <w:lang w:val="en-GB"/>
              </w:rPr>
              <w:t>156.</w:t>
            </w:r>
            <w:r>
              <w:rPr>
                <w:sz w:val="18"/>
              </w:rPr>
              <w:t>525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s>
              <w:ind w:left="279" w:hanging="279"/>
              <w:jc w:val="left"/>
              <w:rPr>
                <w:sz w:val="18"/>
                <w:lang w:val="en-GB"/>
              </w:rPr>
            </w:pPr>
            <w:r>
              <w:rPr>
                <w:b/>
                <w:sz w:val="18"/>
                <w:lang w:val="en-GB"/>
              </w:rPr>
              <w:tab/>
              <w:t>DSC Calling, distress &amp; safety</w:t>
            </w: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270</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156.5375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rPr>
              <w:tab/>
              <w:t>DSC Guardband</w:t>
            </w: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11</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156.550</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211</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156.5625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71</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271</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156.5875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12</w:t>
            </w:r>
          </w:p>
        </w:tc>
        <w:tc>
          <w:tcPr>
            <w:tcW w:w="1691" w:type="dxa"/>
          </w:tcPr>
          <w:p w:rsidR="00FD0884" w:rsidRDefault="00FD0884" w:rsidP="006071D1">
            <w:pPr>
              <w:pStyle w:val="TableText0"/>
              <w:framePr w:hSpace="181" w:wrap="notBeside" w:vAnchor="text" w:hAnchor="text" w:xAlign="center" w:y="1"/>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156.600</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212</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156.6125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72</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272</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156.6375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13</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156.650</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213</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156.6625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73</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gridAfter w:val="1"/>
          <w:wAfter w:w="57" w:type="dxa"/>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273</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156.6875</w:t>
            </w:r>
          </w:p>
        </w:tc>
        <w:tc>
          <w:tcPr>
            <w:tcW w:w="231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14</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156.700</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214</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156.7125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74</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274</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156.7375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15</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156.750</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215</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156.7625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75</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rPr>
              <w:tab/>
              <w:t>Guardband</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275</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156.7875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rPr>
              <w:tab/>
              <w:t>Guardband</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16</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r>
              <w:rPr>
                <w:b/>
                <w:sz w:val="18"/>
                <w:lang w:val="en-GB"/>
              </w:rPr>
              <w:t>156.800</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lang w:val="en-GB"/>
              </w:rPr>
            </w:pPr>
            <w:r>
              <w:rPr>
                <w:sz w:val="18"/>
                <w:lang w:val="en-GB"/>
              </w:rPr>
              <w:tab/>
            </w:r>
            <w:r>
              <w:rPr>
                <w:b/>
                <w:bCs/>
                <w:sz w:val="18"/>
                <w:lang w:val="en-GB"/>
              </w:rPr>
              <w:t>Calling, distress &amp; safety</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216</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rPr>
              <w:t>156.8125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lang w:val="en-GB"/>
              </w:rPr>
              <w:tab/>
              <w:t>Guardband</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76</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r>
              <w:rPr>
                <w:sz w:val="18"/>
                <w:lang w:val="en-GB"/>
              </w:rPr>
              <w:tab/>
              <w:t>Guardband</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276</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156.8375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17</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156.850</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217</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156.8625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77</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277</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r>
              <w:rPr>
                <w:sz w:val="18"/>
                <w:lang w:val="en-GB"/>
              </w:rPr>
              <w:t>156.8875</w:t>
            </w: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279"/>
                <w:tab w:val="decimal" w:pos="1112"/>
              </w:tabs>
              <w:jc w:val="left"/>
              <w:rPr>
                <w:sz w:val="18"/>
              </w:rPr>
            </w:pP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18</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156.900</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161.500</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218</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156.9125</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161.5125</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78</w:t>
            </w: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156.925</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161.525</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278</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156.9375</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161.5375</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19</w:t>
            </w: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156.950</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161.550</w:t>
            </w:r>
          </w:p>
        </w:tc>
      </w:tr>
      <w:tr w:rsidR="00FD0884" w:rsidTr="006071D1">
        <w:trPr>
          <w:cantSplit/>
          <w:jc w:val="center"/>
        </w:trPr>
        <w:tc>
          <w:tcPr>
            <w:tcW w:w="118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69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219</w:t>
            </w:r>
          </w:p>
        </w:tc>
        <w:tc>
          <w:tcPr>
            <w:tcW w:w="1353"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69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156.9625</w:t>
            </w:r>
          </w:p>
        </w:tc>
        <w:tc>
          <w:tcPr>
            <w:tcW w:w="146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68" w:type="dxa"/>
            <w:gridSpan w:val="2"/>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161.5625</w:t>
            </w:r>
          </w:p>
        </w:tc>
      </w:tr>
    </w:tbl>
    <w:p w:rsidR="00FD0884" w:rsidRDefault="00FD0884" w:rsidP="00FD0884">
      <w:pPr>
        <w:pStyle w:val="Tablefin"/>
        <w:rPr>
          <w:lang w:val="fr-FR"/>
        </w:rPr>
      </w:pPr>
    </w:p>
    <w:p w:rsidR="00FD0884" w:rsidRDefault="00FD0884" w:rsidP="00FD0884">
      <w:pPr>
        <w:pStyle w:val="Index1"/>
        <w:rPr>
          <w:sz w:val="20"/>
        </w:rPr>
      </w:pPr>
      <w:r>
        <w:br w:type="page"/>
      </w:r>
    </w:p>
    <w:tbl>
      <w:tblPr>
        <w:tblW w:w="9752" w:type="dxa"/>
        <w:jc w:val="center"/>
        <w:tblLayout w:type="fixed"/>
        <w:tblCellMar>
          <w:left w:w="0" w:type="dxa"/>
          <w:right w:w="0" w:type="dxa"/>
        </w:tblCellMar>
        <w:tblLook w:val="0000" w:firstRow="0" w:lastRow="0" w:firstColumn="0" w:lastColumn="0" w:noHBand="0" w:noVBand="0"/>
      </w:tblPr>
      <w:tblGrid>
        <w:gridCol w:w="1190"/>
        <w:gridCol w:w="1701"/>
        <w:gridCol w:w="1361"/>
        <w:gridCol w:w="1701"/>
        <w:gridCol w:w="1474"/>
        <w:gridCol w:w="2325"/>
      </w:tblGrid>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CHANNEL</w:t>
            </w:r>
            <w:r>
              <w:rPr>
                <w:sz w:val="18"/>
                <w:lang w:val="en-GB"/>
              </w:rPr>
              <w:br/>
              <w:t>NUMBER</w:t>
            </w:r>
          </w:p>
        </w:tc>
        <w:tc>
          <w:tcPr>
            <w:tcW w:w="1361"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SHIP</w:t>
            </w:r>
          </w:p>
        </w:tc>
        <w:tc>
          <w:tcPr>
            <w:tcW w:w="1474" w:type="dxa"/>
          </w:tcPr>
          <w:p w:rsidR="00FD0884" w:rsidRDefault="00FD0884" w:rsidP="006071D1">
            <w:pPr>
              <w:pStyle w:val="Tabletext"/>
              <w:framePr w:hSpace="181" w:wrap="notBeside" w:vAnchor="text" w:hAnchor="text" w:xAlign="center" w:y="1"/>
              <w:jc w:val="center"/>
              <w:rPr>
                <w:sz w:val="18"/>
                <w:lang w:val="en-GB"/>
              </w:rPr>
            </w:pPr>
            <w:r>
              <w:rPr>
                <w:sz w:val="18"/>
                <w:lang w:val="en-GB"/>
              </w:rPr>
              <w:t>SHIP &amp; COAST</w:t>
            </w:r>
          </w:p>
        </w:tc>
        <w:tc>
          <w:tcPr>
            <w:tcW w:w="2325" w:type="dxa"/>
          </w:tcPr>
          <w:p w:rsidR="00FD0884" w:rsidRDefault="00FD0884" w:rsidP="006071D1">
            <w:pPr>
              <w:pStyle w:val="Tabletext"/>
              <w:framePr w:hSpace="181" w:wrap="notBeside" w:vAnchor="text" w:hAnchor="text" w:xAlign="center" w:y="1"/>
              <w:jc w:val="center"/>
              <w:rPr>
                <w:sz w:val="18"/>
                <w:lang w:val="en-GB"/>
              </w:rPr>
            </w:pPr>
            <w:r>
              <w:rPr>
                <w:sz w:val="18"/>
                <w:lang w:val="en-GB"/>
              </w:rPr>
              <w:t>COAST</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First 25 kHz Channel</w:t>
            </w: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Interleaved 12.5 kHz</w:t>
            </w:r>
            <w:r>
              <w:rPr>
                <w:sz w:val="18"/>
                <w:lang w:val="en-GB"/>
              </w:rPr>
              <w:br/>
              <w:t>Channel</w:t>
            </w:r>
          </w:p>
        </w:tc>
        <w:tc>
          <w:tcPr>
            <w:tcW w:w="1361" w:type="dxa"/>
          </w:tcPr>
          <w:p w:rsidR="00FD0884" w:rsidRDefault="00FD0884" w:rsidP="006071D1">
            <w:pPr>
              <w:pStyle w:val="Tabletext"/>
              <w:framePr w:hSpace="181" w:wrap="notBeside" w:vAnchor="text" w:hAnchor="text" w:xAlign="center" w:y="1"/>
              <w:jc w:val="center"/>
              <w:rPr>
                <w:sz w:val="18"/>
                <w:lang w:val="en-GB"/>
              </w:rPr>
            </w:pPr>
            <w:r>
              <w:rPr>
                <w:sz w:val="18"/>
                <w:lang w:val="en-GB"/>
              </w:rPr>
              <w:t>Second</w:t>
            </w:r>
            <w:r>
              <w:rPr>
                <w:sz w:val="18"/>
                <w:lang w:val="en-GB"/>
              </w:rPr>
              <w:br/>
              <w:t>25 kHz Channel</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474" w:type="dxa"/>
          </w:tcPr>
          <w:p w:rsidR="00FD0884" w:rsidRDefault="00FD0884" w:rsidP="006071D1">
            <w:pPr>
              <w:pStyle w:val="Tabletext"/>
              <w:framePr w:hSpace="181" w:wrap="notBeside" w:vAnchor="text" w:hAnchor="text" w:xAlign="center" w:y="1"/>
              <w:jc w:val="center"/>
              <w:rPr>
                <w:sz w:val="18"/>
                <w:lang w:val="en-GB"/>
              </w:rPr>
            </w:pPr>
          </w:p>
        </w:tc>
        <w:tc>
          <w:tcPr>
            <w:tcW w:w="2325" w:type="dxa"/>
          </w:tcPr>
          <w:p w:rsidR="00FD0884" w:rsidRDefault="00FD0884" w:rsidP="006071D1">
            <w:pPr>
              <w:pStyle w:val="Tabletext"/>
              <w:framePr w:hSpace="181" w:wrap="notBeside" w:vAnchor="text" w:hAnchor="text" w:xAlign="center" w:y="1"/>
              <w:jc w:val="center"/>
              <w:rPr>
                <w:sz w:val="18"/>
                <w:lang w:val="en-GB"/>
              </w:rPr>
            </w:pP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GB"/>
              </w:rPr>
              <w:t>79</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161.575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279</w:t>
            </w: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156.9875</w:t>
            </w:r>
          </w:p>
        </w:tc>
        <w:tc>
          <w:tcPr>
            <w:tcW w:w="1474" w:type="dxa"/>
          </w:tcPr>
          <w:p w:rsidR="00FD0884" w:rsidRDefault="00FD0884" w:rsidP="006071D1">
            <w:pPr>
              <w:pStyle w:val="Tabletext"/>
              <w:framePr w:hSpace="181" w:wrap="notBeside" w:vAnchor="text" w:hAnchor="text" w:xAlign="center" w:y="1"/>
              <w:jc w:val="center"/>
              <w:rPr>
                <w:sz w:val="18"/>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161.5875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r>
              <w:rPr>
                <w:sz w:val="18"/>
                <w:lang w:val="en-GB"/>
              </w:rPr>
              <w:t>20</w:t>
            </w:r>
          </w:p>
        </w:tc>
        <w:tc>
          <w:tcPr>
            <w:tcW w:w="1701" w:type="dxa"/>
          </w:tcPr>
          <w:p w:rsidR="00FD0884" w:rsidRDefault="00FD0884" w:rsidP="006071D1">
            <w:pPr>
              <w:pStyle w:val="Tabletext"/>
              <w:framePr w:hSpace="181" w:wrap="notBeside" w:vAnchor="text" w:hAnchor="text" w:xAlign="center" w:y="1"/>
              <w:jc w:val="center"/>
              <w:rPr>
                <w:sz w:val="18"/>
                <w:lang w:val="en-GB"/>
              </w:rPr>
            </w:pP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157.000</w:t>
            </w:r>
          </w:p>
        </w:tc>
        <w:tc>
          <w:tcPr>
            <w:tcW w:w="1474" w:type="dxa"/>
          </w:tcPr>
          <w:p w:rsidR="00FD0884" w:rsidRDefault="00FD0884" w:rsidP="006071D1">
            <w:pPr>
              <w:pStyle w:val="Tabletext"/>
              <w:framePr w:hSpace="181" w:wrap="notBeside" w:vAnchor="text" w:hAnchor="text" w:xAlign="center" w:y="1"/>
              <w:jc w:val="center"/>
              <w:rPr>
                <w:sz w:val="18"/>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161.600</w:t>
            </w:r>
          </w:p>
        </w:tc>
      </w:tr>
      <w:tr w:rsidR="00FD0884" w:rsidTr="006071D1">
        <w:trPr>
          <w:jc w:val="center"/>
        </w:trPr>
        <w:tc>
          <w:tcPr>
            <w:tcW w:w="1190" w:type="dxa"/>
          </w:tcPr>
          <w:p w:rsidR="00FD0884" w:rsidRDefault="00FD0884" w:rsidP="006071D1">
            <w:pPr>
              <w:pStyle w:val="Tabletext"/>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220</w:t>
            </w:r>
          </w:p>
        </w:tc>
        <w:tc>
          <w:tcPr>
            <w:tcW w:w="1361" w:type="dxa"/>
          </w:tcPr>
          <w:p w:rsidR="00FD0884" w:rsidRDefault="00FD0884" w:rsidP="006071D1">
            <w:pPr>
              <w:pStyle w:val="Tabletext"/>
              <w:framePr w:hSpace="181" w:wrap="notBeside" w:vAnchor="text" w:hAnchor="text" w:xAlign="center" w:y="1"/>
              <w:jc w:val="center"/>
              <w:rPr>
                <w:sz w:val="18"/>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rPr>
            </w:pPr>
            <w:r>
              <w:rPr>
                <w:sz w:val="18"/>
                <w:lang w:val="en-GB"/>
              </w:rPr>
              <w:t>157.0125</w:t>
            </w:r>
          </w:p>
        </w:tc>
        <w:tc>
          <w:tcPr>
            <w:tcW w:w="1474" w:type="dxa"/>
          </w:tcPr>
          <w:p w:rsidR="00FD0884" w:rsidRDefault="00FD0884" w:rsidP="006071D1">
            <w:pPr>
              <w:pStyle w:val="Tabletext"/>
              <w:framePr w:hSpace="181" w:wrap="notBeside" w:vAnchor="text" w:hAnchor="text" w:xAlign="center" w:y="1"/>
              <w:jc w:val="center"/>
              <w:rPr>
                <w:sz w:val="18"/>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rPr>
            </w:pPr>
            <w:r>
              <w:rPr>
                <w:sz w:val="18"/>
                <w:lang w:val="en-GB"/>
              </w:rPr>
              <w:t>161.6125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80</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280</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161.6375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21</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161.650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221</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81</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281</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157.0875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161.6875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161.700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222</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161.7125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82</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282</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161.7375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23</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161.750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223</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83</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283</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157.1875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161.7875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24</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161.800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224</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161.8125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84</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284</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161.8375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25</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161.850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225</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85</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285</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157.2875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161.8875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26</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161.900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226</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161.9125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86</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286</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161.9375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27</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161.950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227</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161.9625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87</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287</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158.3875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161.9875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28</w:t>
            </w: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157.400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162.000</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228</w:t>
            </w: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157.4125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162.0125</w:t>
            </w:r>
          </w:p>
        </w:tc>
      </w:tr>
      <w:tr w:rsidR="00FD0884" w:rsidTr="006071D1">
        <w:trPr>
          <w:jc w:val="center"/>
        </w:trPr>
        <w:tc>
          <w:tcPr>
            <w:tcW w:w="1190"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70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p>
        </w:tc>
        <w:tc>
          <w:tcPr>
            <w:tcW w:w="1361" w:type="dxa"/>
          </w:tcPr>
          <w:p w:rsidR="00FD0884" w:rsidRDefault="00FD0884" w:rsidP="006071D1">
            <w:pPr>
              <w:pStyle w:val="TableText0"/>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GB"/>
              </w:rPr>
            </w:pPr>
            <w:r>
              <w:rPr>
                <w:sz w:val="18"/>
                <w:lang w:val="en-GB"/>
              </w:rPr>
              <w:t>88</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74"/>
              </w:tabs>
              <w:jc w:val="left"/>
              <w:rPr>
                <w:sz w:val="18"/>
                <w:lang w:val="en-GB"/>
              </w:rPr>
            </w:pPr>
            <w:r>
              <w:rPr>
                <w:sz w:val="18"/>
                <w:lang w:val="en-GB"/>
              </w:rPr>
              <w:t>157.425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12"/>
              </w:tabs>
              <w:jc w:val="left"/>
              <w:rPr>
                <w:sz w:val="18"/>
                <w:lang w:val="en-GB"/>
              </w:rPr>
            </w:pPr>
            <w:r>
              <w:rPr>
                <w:sz w:val="18"/>
                <w:lang w:val="en-GB"/>
              </w:rPr>
              <w:t>162.025</w:t>
            </w:r>
          </w:p>
        </w:tc>
      </w:tr>
    </w:tbl>
    <w:p w:rsidR="00FD0884" w:rsidRDefault="00FD0884" w:rsidP="00FD0884">
      <w:pPr>
        <w:pStyle w:val="Tablefin"/>
      </w:pPr>
    </w:p>
    <w:p w:rsidR="00FD0884" w:rsidRDefault="00FD0884" w:rsidP="00FD0884">
      <w:pPr>
        <w:rPr>
          <w:lang w:val="en-GB"/>
        </w:rPr>
      </w:pPr>
      <w:r>
        <w:rPr>
          <w:b/>
          <w:lang w:val="en-GB"/>
        </w:rPr>
        <w:t>2</w:t>
      </w:r>
      <w:r>
        <w:rPr>
          <w:b/>
          <w:lang w:val="en-GB"/>
        </w:rPr>
        <w:tab/>
      </w:r>
      <w:r>
        <w:rPr>
          <w:lang w:val="en-GB"/>
        </w:rPr>
        <w:t>Extension of channel number assignments for migration to 6.25 kHz channel spacing from the current 25 kHz channel spacing with interleaved 12.5 kHz offset frequencies channels: (This channel numbering sequence is provided as an example.)</w:t>
      </w:r>
    </w:p>
    <w:p w:rsidR="00FD0884" w:rsidRDefault="00FD0884" w:rsidP="00FD0884">
      <w:pPr>
        <w:rPr>
          <w:lang w:val="en-GB"/>
        </w:rPr>
      </w:pPr>
    </w:p>
    <w:tbl>
      <w:tblPr>
        <w:tblW w:w="9752" w:type="dxa"/>
        <w:jc w:val="center"/>
        <w:tblLayout w:type="fixed"/>
        <w:tblCellMar>
          <w:left w:w="107" w:type="dxa"/>
          <w:right w:w="107" w:type="dxa"/>
        </w:tblCellMar>
        <w:tblLook w:val="0000" w:firstRow="0" w:lastRow="0" w:firstColumn="0" w:lastColumn="0" w:noHBand="0" w:noVBand="0"/>
      </w:tblPr>
      <w:tblGrid>
        <w:gridCol w:w="850"/>
        <w:gridCol w:w="851"/>
        <w:gridCol w:w="851"/>
        <w:gridCol w:w="851"/>
        <w:gridCol w:w="851"/>
        <w:gridCol w:w="1700"/>
        <w:gridCol w:w="1474"/>
        <w:gridCol w:w="2324"/>
      </w:tblGrid>
      <w:tr w:rsidR="00FD0884" w:rsidTr="006071D1">
        <w:trPr>
          <w:cantSplit/>
          <w:jc w:val="center"/>
        </w:trPr>
        <w:tc>
          <w:tcPr>
            <w:tcW w:w="4253" w:type="dxa"/>
            <w:gridSpan w:val="5"/>
          </w:tcPr>
          <w:p w:rsidR="00FD0884" w:rsidRDefault="00FD0884" w:rsidP="006071D1">
            <w:pPr>
              <w:pStyle w:val="Tabletext"/>
              <w:framePr w:hSpace="181" w:wrap="notBeside" w:vAnchor="text" w:hAnchor="text" w:xAlign="center" w:y="1"/>
              <w:jc w:val="center"/>
              <w:rPr>
                <w:sz w:val="18"/>
              </w:rPr>
            </w:pPr>
            <w:r>
              <w:rPr>
                <w:sz w:val="18"/>
                <w:lang w:val="en-GB"/>
              </w:rPr>
              <w:t>CHANNEL No.</w:t>
            </w:r>
            <w:r>
              <w:rPr>
                <w:sz w:val="18"/>
                <w:lang w:val="en-GB"/>
              </w:rPr>
              <w:br/>
              <w:t>(6.25 kHz spacing)</w:t>
            </w: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SHIP</w:t>
            </w:r>
          </w:p>
        </w:tc>
        <w:tc>
          <w:tcPr>
            <w:tcW w:w="1474" w:type="dxa"/>
          </w:tcPr>
          <w:p w:rsidR="00FD0884" w:rsidRDefault="00FD0884" w:rsidP="006071D1">
            <w:pPr>
              <w:pStyle w:val="Tabletext"/>
              <w:framePr w:hSpace="181" w:wrap="notBeside" w:vAnchor="text" w:hAnchor="text" w:xAlign="center" w:y="1"/>
              <w:jc w:val="center"/>
              <w:rPr>
                <w:sz w:val="18"/>
                <w:lang w:val="en-GB"/>
              </w:rPr>
            </w:pPr>
            <w:r>
              <w:rPr>
                <w:sz w:val="18"/>
                <w:lang w:val="en-GB"/>
              </w:rPr>
              <w:t>SHIP &amp; COAST</w:t>
            </w:r>
          </w:p>
        </w:tc>
        <w:tc>
          <w:tcPr>
            <w:tcW w:w="2325" w:type="dxa"/>
          </w:tcPr>
          <w:p w:rsidR="00FD0884" w:rsidRDefault="00FD0884" w:rsidP="006071D1">
            <w:pPr>
              <w:pStyle w:val="Tabletext"/>
              <w:framePr w:hSpace="181" w:wrap="notBeside" w:vAnchor="text" w:hAnchor="text" w:xAlign="center" w:y="1"/>
              <w:jc w:val="center"/>
              <w:rPr>
                <w:sz w:val="18"/>
                <w:lang w:val="en-GB"/>
              </w:rPr>
            </w:pPr>
            <w:r>
              <w:rPr>
                <w:sz w:val="18"/>
                <w:lang w:val="en-GB"/>
              </w:rPr>
              <w:t>COAST</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60</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160.625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160</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156.03125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160.63125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260</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160.6375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360</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156.04375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160.64375</w:t>
            </w:r>
          </w:p>
        </w:tc>
      </w:tr>
      <w:tr w:rsidR="00FD0884" w:rsidTr="006071D1">
        <w:trPr>
          <w:cantSplit/>
          <w:jc w:val="center"/>
        </w:trPr>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01</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156.050</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160.650</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101</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156.05625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160.65625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201</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156.0625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160.6625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301</w:t>
            </w: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156.06875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160.66875</w:t>
            </w:r>
          </w:p>
        </w:tc>
      </w:tr>
      <w:tr w:rsidR="00FD0884" w:rsidTr="006071D1">
        <w:trPr>
          <w:cantSplit/>
          <w:jc w:val="center"/>
        </w:trPr>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0"/>
              <w:framePr w:hSpace="181" w:wrap="notBeside" w:vAnchor="text" w:hAnchor="text" w:xAlign="center" w:y="1"/>
              <w:jc w:val="center"/>
              <w:rPr>
                <w:sz w:val="18"/>
                <w:lang w:val="en-GB"/>
              </w:rPr>
            </w:pPr>
          </w:p>
        </w:tc>
        <w:tc>
          <w:tcPr>
            <w:tcW w:w="851" w:type="dxa"/>
          </w:tcPr>
          <w:p w:rsidR="00FD0884" w:rsidRDefault="00FD0884" w:rsidP="006071D1">
            <w:pPr>
              <w:pStyle w:val="Tabletext"/>
              <w:framePr w:hSpace="181" w:wrap="notBeside" w:vAnchor="text" w:hAnchor="text" w:xAlign="center" w:y="1"/>
              <w:jc w:val="center"/>
              <w:rPr>
                <w:sz w:val="18"/>
                <w:lang w:val="en-GB"/>
              </w:rPr>
            </w:pPr>
            <w:r>
              <w:rPr>
                <w:sz w:val="18"/>
                <w:lang w:val="en-GB"/>
              </w:rPr>
              <w:t>61</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0"/>
              </w:tabs>
              <w:jc w:val="left"/>
              <w:rPr>
                <w:sz w:val="18"/>
                <w:lang w:val="en-GB"/>
              </w:rPr>
            </w:pPr>
            <w:r>
              <w:rPr>
                <w:sz w:val="18"/>
                <w:lang w:val="en-GB"/>
              </w:rPr>
              <w:t>156.075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10"/>
              </w:tabs>
              <w:jc w:val="left"/>
              <w:rPr>
                <w:sz w:val="18"/>
                <w:lang w:val="en-GB"/>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21"/>
              </w:tabs>
              <w:jc w:val="left"/>
              <w:rPr>
                <w:sz w:val="18"/>
                <w:lang w:val="en-GB"/>
              </w:rPr>
            </w:pPr>
            <w:r>
              <w:rPr>
                <w:sz w:val="18"/>
                <w:lang w:val="en-GB"/>
              </w:rPr>
              <w:t>160.675</w:t>
            </w:r>
          </w:p>
        </w:tc>
      </w:tr>
    </w:tbl>
    <w:p w:rsidR="00FD0884" w:rsidRDefault="00FD0884" w:rsidP="00FD0884">
      <w:pPr>
        <w:pStyle w:val="Tablefin"/>
      </w:pPr>
    </w:p>
    <w:p w:rsidR="00FD0884" w:rsidRDefault="00FD0884" w:rsidP="00FD0884">
      <w:pPr>
        <w:rPr>
          <w:lang w:val="en-GB"/>
        </w:rPr>
      </w:pPr>
      <w:r>
        <w:rPr>
          <w:b/>
          <w:lang w:val="en-GB"/>
        </w:rPr>
        <w:t>3</w:t>
      </w:r>
      <w:r>
        <w:rPr>
          <w:lang w:val="en-GB"/>
        </w:rPr>
        <w:tab/>
        <w:t>For channel number assignments to simplex operation of duplex channels: (This channel numbering sequence is provided as an example.)</w:t>
      </w:r>
    </w:p>
    <w:p w:rsidR="00FD0884" w:rsidRDefault="00FD0884" w:rsidP="00FD0884">
      <w:pPr>
        <w:rPr>
          <w:lang w:val="en-GB"/>
        </w:rPr>
      </w:pPr>
    </w:p>
    <w:tbl>
      <w:tblPr>
        <w:tblW w:w="9752" w:type="dxa"/>
        <w:jc w:val="center"/>
        <w:tblLayout w:type="fixed"/>
        <w:tblCellMar>
          <w:left w:w="107" w:type="dxa"/>
          <w:right w:w="107" w:type="dxa"/>
        </w:tblCellMar>
        <w:tblLook w:val="0000" w:firstRow="0" w:lastRow="0" w:firstColumn="0" w:lastColumn="0" w:noHBand="0" w:noVBand="0"/>
      </w:tblPr>
      <w:tblGrid>
        <w:gridCol w:w="4253"/>
        <w:gridCol w:w="1701"/>
        <w:gridCol w:w="1474"/>
        <w:gridCol w:w="2324"/>
      </w:tblGrid>
      <w:tr w:rsidR="00FD0884" w:rsidTr="006071D1">
        <w:trPr>
          <w:cantSplit/>
          <w:jc w:val="center"/>
        </w:trPr>
        <w:tc>
          <w:tcPr>
            <w:tcW w:w="4255" w:type="dxa"/>
          </w:tcPr>
          <w:p w:rsidR="00FD0884" w:rsidRDefault="00FD0884" w:rsidP="006071D1">
            <w:pPr>
              <w:pStyle w:val="Tabletext"/>
              <w:framePr w:hSpace="181" w:wrap="notBeside" w:vAnchor="text" w:hAnchor="text" w:xAlign="center" w:y="1"/>
              <w:jc w:val="center"/>
              <w:rPr>
                <w:sz w:val="18"/>
                <w:lang w:val="en-GB"/>
              </w:rPr>
            </w:pPr>
            <w:r>
              <w:rPr>
                <w:sz w:val="18"/>
                <w:lang w:val="en-GB"/>
              </w:rPr>
              <w:t>CHANNEL No.</w:t>
            </w:r>
          </w:p>
        </w:tc>
        <w:tc>
          <w:tcPr>
            <w:tcW w:w="1701" w:type="dxa"/>
          </w:tcPr>
          <w:p w:rsidR="00FD0884" w:rsidRDefault="00FD0884" w:rsidP="006071D1">
            <w:pPr>
              <w:pStyle w:val="Tabletext"/>
              <w:framePr w:hSpace="181" w:wrap="notBeside" w:vAnchor="text" w:hAnchor="text" w:xAlign="center" w:y="1"/>
              <w:jc w:val="center"/>
              <w:rPr>
                <w:sz w:val="18"/>
                <w:lang w:val="en-GB"/>
              </w:rPr>
            </w:pPr>
            <w:r>
              <w:rPr>
                <w:sz w:val="18"/>
                <w:lang w:val="en-GB"/>
              </w:rPr>
              <w:t>SHIP</w:t>
            </w:r>
          </w:p>
        </w:tc>
        <w:tc>
          <w:tcPr>
            <w:tcW w:w="1474" w:type="dxa"/>
          </w:tcPr>
          <w:p w:rsidR="00FD0884" w:rsidRDefault="00FD0884" w:rsidP="006071D1">
            <w:pPr>
              <w:pStyle w:val="Tabletext"/>
              <w:framePr w:hSpace="181" w:wrap="notBeside" w:vAnchor="text" w:hAnchor="text" w:xAlign="center" w:y="1"/>
              <w:jc w:val="center"/>
              <w:rPr>
                <w:sz w:val="18"/>
                <w:lang w:val="en-GB"/>
              </w:rPr>
            </w:pPr>
            <w:r>
              <w:rPr>
                <w:sz w:val="18"/>
                <w:lang w:val="en-GB"/>
              </w:rPr>
              <w:t>SHIP &amp; COAST</w:t>
            </w:r>
          </w:p>
        </w:tc>
        <w:tc>
          <w:tcPr>
            <w:tcW w:w="2325" w:type="dxa"/>
          </w:tcPr>
          <w:p w:rsidR="00FD0884" w:rsidRDefault="00FD0884" w:rsidP="006071D1">
            <w:pPr>
              <w:pStyle w:val="Tabletext"/>
              <w:framePr w:hSpace="181" w:wrap="notBeside" w:vAnchor="text" w:hAnchor="text" w:xAlign="center" w:y="1"/>
              <w:jc w:val="center"/>
              <w:rPr>
                <w:sz w:val="18"/>
                <w:lang w:val="en-GB"/>
              </w:rPr>
            </w:pPr>
            <w:r>
              <w:rPr>
                <w:sz w:val="18"/>
                <w:lang w:val="en-GB"/>
              </w:rPr>
              <w:t>COAST</w:t>
            </w:r>
          </w:p>
        </w:tc>
      </w:tr>
      <w:tr w:rsidR="00FD0884"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sz w:val="18"/>
                <w:lang w:val="en-US"/>
              </w:rPr>
            </w:pPr>
            <w:r>
              <w:rPr>
                <w:b/>
                <w:sz w:val="18"/>
                <w:lang w:val="en-US"/>
              </w:rPr>
              <w:t>For normal duplex operation:</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lang w:val="en-US"/>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lang w:val="en-US"/>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lang w:val="en-US"/>
              </w:rPr>
            </w:pPr>
          </w:p>
        </w:tc>
      </w:tr>
      <w:tr w:rsidR="00FD0884"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60</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rPr>
            </w:pPr>
            <w:r>
              <w:rPr>
                <w:sz w:val="18"/>
              </w:rPr>
              <w:t>156.025</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rPr>
            </w:pPr>
            <w:r>
              <w:rPr>
                <w:sz w:val="18"/>
              </w:rPr>
              <w:t>–</w:t>
            </w: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rPr>
            </w:pPr>
            <w:r>
              <w:rPr>
                <w:sz w:val="18"/>
              </w:rPr>
              <w:t>160.625</w:t>
            </w:r>
          </w:p>
        </w:tc>
      </w:tr>
      <w:tr w:rsidR="00FD0884" w:rsidRPr="0003188F"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sz w:val="18"/>
                <w:lang w:val="en-US"/>
              </w:rPr>
            </w:pPr>
            <w:r>
              <w:rPr>
                <w:b/>
                <w:sz w:val="18"/>
                <w:lang w:val="en-US"/>
              </w:rPr>
              <w:t>For simplex operation of ship station frequency:</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lang w:val="en-US"/>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lang w:val="en-US"/>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lang w:val="en-US"/>
              </w:rPr>
            </w:pPr>
          </w:p>
        </w:tc>
      </w:tr>
      <w:tr w:rsidR="00FD0884"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US"/>
              </w:rPr>
              <w:t>1</w:t>
            </w:r>
            <w:r>
              <w:rPr>
                <w:rFonts w:ascii="Tms Rmn" w:hAnsi="Tms Rmn"/>
                <w:sz w:val="18"/>
                <w:lang w:val="en-US"/>
              </w:rPr>
              <w:t> </w:t>
            </w:r>
            <w:r>
              <w:rPr>
                <w:sz w:val="18"/>
                <w:lang w:val="en-US"/>
              </w:rPr>
              <w:t>060 (see Note 1)</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rPr>
            </w:pPr>
            <w:r>
              <w:rPr>
                <w:sz w:val="18"/>
              </w:rPr>
              <w:t>–</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rPr>
            </w:pPr>
            <w:r>
              <w:rPr>
                <w:sz w:val="18"/>
              </w:rPr>
              <w:t>156.025</w:t>
            </w: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rPr>
            </w:pPr>
            <w:r>
              <w:rPr>
                <w:sz w:val="18"/>
              </w:rPr>
              <w:t>–</w:t>
            </w:r>
          </w:p>
        </w:tc>
      </w:tr>
      <w:tr w:rsidR="00FD0884" w:rsidRPr="0003188F"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sz w:val="18"/>
                <w:lang w:val="en-US"/>
              </w:rPr>
            </w:pPr>
            <w:r>
              <w:rPr>
                <w:b/>
                <w:sz w:val="18"/>
                <w:lang w:val="en-US"/>
              </w:rPr>
              <w:t>For simplex operation of coast station frequency:</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lang w:val="en-US"/>
              </w:rPr>
            </w:pP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lang w:val="en-US"/>
              </w:rPr>
            </w:pP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lang w:val="en-US"/>
              </w:rPr>
            </w:pPr>
          </w:p>
        </w:tc>
      </w:tr>
      <w:tr w:rsidR="00FD0884" w:rsidTr="006071D1">
        <w:trPr>
          <w:cantSplit/>
          <w:jc w:val="center"/>
        </w:trPr>
        <w:tc>
          <w:tcPr>
            <w:tcW w:w="425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US"/>
              </w:rPr>
              <w:t>2</w:t>
            </w:r>
            <w:r>
              <w:rPr>
                <w:rFonts w:ascii="Tms Rmn" w:hAnsi="Tms Rmn"/>
                <w:sz w:val="18"/>
                <w:lang w:val="en-US"/>
              </w:rPr>
              <w:t> </w:t>
            </w:r>
            <w:r>
              <w:rPr>
                <w:sz w:val="18"/>
                <w:lang w:val="en-US"/>
              </w:rPr>
              <w:t>060 (see Note 1)</w:t>
            </w:r>
          </w:p>
        </w:tc>
        <w:tc>
          <w:tcPr>
            <w:tcW w:w="1701"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rPr>
            </w:pPr>
            <w:r>
              <w:rPr>
                <w:sz w:val="18"/>
              </w:rPr>
              <w:t>–</w:t>
            </w:r>
          </w:p>
        </w:tc>
        <w:tc>
          <w:tcPr>
            <w:tcW w:w="1474"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rPr>
            </w:pPr>
            <w:r>
              <w:rPr>
                <w:sz w:val="18"/>
              </w:rPr>
              <w:t>160.625</w:t>
            </w:r>
          </w:p>
        </w:tc>
        <w:tc>
          <w:tcPr>
            <w:tcW w:w="2325" w:type="dxa"/>
          </w:tcPr>
          <w:p w:rsidR="00FD0884" w:rsidRDefault="00FD0884" w:rsidP="006071D1">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rPr>
            </w:pPr>
            <w:r>
              <w:rPr>
                <w:sz w:val="18"/>
              </w:rPr>
              <w:t>–</w:t>
            </w:r>
          </w:p>
        </w:tc>
      </w:tr>
    </w:tbl>
    <w:p w:rsidR="00FD0884" w:rsidRDefault="00FD0884" w:rsidP="00FD0884">
      <w:pPr>
        <w:pStyle w:val="Tablefin"/>
      </w:pPr>
    </w:p>
    <w:p w:rsidR="00FD0884" w:rsidRDefault="00FD0884">
      <w:pPr>
        <w:pStyle w:val="Note"/>
        <w:rPr>
          <w:lang w:val="en-US"/>
        </w:rPr>
      </w:pPr>
      <w:r>
        <w:rPr>
          <w:lang w:val="en-US"/>
        </w:rPr>
        <w:t>NOTE 1 – This method of numbering a duplex channel used for simplex operation is in accordance with Recommendation ITU</w:t>
      </w:r>
      <w:r>
        <w:rPr>
          <w:lang w:val="en-US"/>
        </w:rPr>
        <w:noBreakHyphen/>
        <w:t>R M.493.</w:t>
      </w:r>
    </w:p>
    <w:p w:rsidR="00FD0884" w:rsidRDefault="00FD0884" w:rsidP="00FD0884">
      <w:pPr>
        <w:rPr>
          <w:lang w:val="en-US"/>
        </w:rPr>
      </w:pPr>
      <w:r>
        <w:rPr>
          <w:b/>
          <w:bCs/>
          <w:lang w:val="en-US"/>
        </w:rPr>
        <w:t>4</w:t>
      </w:r>
      <w:r>
        <w:rPr>
          <w:lang w:val="en-US"/>
        </w:rPr>
        <w:tab/>
        <w:t>For channel number assignments to narrow-band operation (12.5 kHz) on 25 kHz channels: (This channel numbering sequence is provided as an example.)</w:t>
      </w:r>
    </w:p>
    <w:p w:rsidR="00FD0884" w:rsidRDefault="00FD0884" w:rsidP="00FD0884">
      <w:pPr>
        <w:rPr>
          <w:lang w:val="en-US"/>
        </w:rPr>
      </w:pPr>
    </w:p>
    <w:tbl>
      <w:tblPr>
        <w:tblW w:w="9752" w:type="dxa"/>
        <w:jc w:val="center"/>
        <w:tblLayout w:type="fixed"/>
        <w:tblCellMar>
          <w:left w:w="107" w:type="dxa"/>
          <w:right w:w="107" w:type="dxa"/>
        </w:tblCellMar>
        <w:tblLook w:val="0000" w:firstRow="0" w:lastRow="0" w:firstColumn="0" w:lastColumn="0" w:noHBand="0" w:noVBand="0"/>
      </w:tblPr>
      <w:tblGrid>
        <w:gridCol w:w="4253"/>
        <w:gridCol w:w="1701"/>
        <w:gridCol w:w="1474"/>
        <w:gridCol w:w="2324"/>
      </w:tblGrid>
      <w:tr w:rsidR="00FD0884" w:rsidTr="006071D1">
        <w:trPr>
          <w:cantSplit/>
          <w:jc w:val="center"/>
        </w:trPr>
        <w:tc>
          <w:tcPr>
            <w:tcW w:w="4255" w:type="dxa"/>
          </w:tcPr>
          <w:p w:rsidR="00FD0884" w:rsidRDefault="00FD0884" w:rsidP="006071D1">
            <w:pPr>
              <w:pStyle w:val="Tabletext"/>
              <w:jc w:val="center"/>
              <w:rPr>
                <w:sz w:val="18"/>
                <w:lang w:val="en-US"/>
              </w:rPr>
            </w:pPr>
            <w:r>
              <w:rPr>
                <w:sz w:val="18"/>
                <w:lang w:val="en-US"/>
              </w:rPr>
              <w:t>CHANNEL No.</w:t>
            </w:r>
          </w:p>
        </w:tc>
        <w:tc>
          <w:tcPr>
            <w:tcW w:w="1701" w:type="dxa"/>
          </w:tcPr>
          <w:p w:rsidR="00FD0884" w:rsidRDefault="00FD0884" w:rsidP="006071D1">
            <w:pPr>
              <w:pStyle w:val="Tabletext"/>
              <w:jc w:val="center"/>
              <w:rPr>
                <w:sz w:val="18"/>
                <w:lang w:val="en-US"/>
              </w:rPr>
            </w:pPr>
            <w:r>
              <w:rPr>
                <w:sz w:val="18"/>
                <w:lang w:val="en-US"/>
              </w:rPr>
              <w:t>SHIP</w:t>
            </w:r>
          </w:p>
        </w:tc>
        <w:tc>
          <w:tcPr>
            <w:tcW w:w="1474" w:type="dxa"/>
          </w:tcPr>
          <w:p w:rsidR="00FD0884" w:rsidRDefault="00FD0884" w:rsidP="006071D1">
            <w:pPr>
              <w:pStyle w:val="Tabletext"/>
              <w:jc w:val="center"/>
              <w:rPr>
                <w:sz w:val="18"/>
                <w:lang w:val="en-US"/>
              </w:rPr>
            </w:pPr>
            <w:r>
              <w:rPr>
                <w:sz w:val="18"/>
                <w:lang w:val="en-US"/>
              </w:rPr>
              <w:t>SHIP &amp; COAST</w:t>
            </w:r>
          </w:p>
        </w:tc>
        <w:tc>
          <w:tcPr>
            <w:tcW w:w="2325" w:type="dxa"/>
          </w:tcPr>
          <w:p w:rsidR="00FD0884" w:rsidRDefault="00FD0884" w:rsidP="006071D1">
            <w:pPr>
              <w:pStyle w:val="Tabletext"/>
              <w:jc w:val="center"/>
              <w:rPr>
                <w:sz w:val="18"/>
                <w:lang w:val="en-US"/>
              </w:rPr>
            </w:pPr>
            <w:r>
              <w:rPr>
                <w:sz w:val="18"/>
                <w:lang w:val="en-US"/>
              </w:rPr>
              <w:t>COAST</w:t>
            </w:r>
          </w:p>
        </w:tc>
      </w:tr>
      <w:tr w:rsidR="00FD0884" w:rsidTr="006071D1">
        <w:trPr>
          <w:cantSplit/>
          <w:jc w:val="center"/>
        </w:trPr>
        <w:tc>
          <w:tcPr>
            <w:tcW w:w="425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sz w:val="18"/>
                <w:lang w:val="en-US"/>
              </w:rPr>
            </w:pPr>
            <w:r>
              <w:rPr>
                <w:b/>
                <w:bCs/>
                <w:sz w:val="18"/>
                <w:lang w:val="en-US"/>
              </w:rPr>
              <w:t>For normal channel operation:</w:t>
            </w:r>
          </w:p>
        </w:tc>
        <w:tc>
          <w:tcPr>
            <w:tcW w:w="1701"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lang w:val="en-US"/>
              </w:rPr>
            </w:pPr>
          </w:p>
        </w:tc>
        <w:tc>
          <w:tcPr>
            <w:tcW w:w="1474"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lang w:val="en-US"/>
              </w:rPr>
            </w:pPr>
          </w:p>
        </w:tc>
        <w:tc>
          <w:tcPr>
            <w:tcW w:w="232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lang w:val="en-US"/>
              </w:rPr>
            </w:pPr>
          </w:p>
        </w:tc>
      </w:tr>
      <w:tr w:rsidR="00FD0884" w:rsidTr="006071D1">
        <w:trPr>
          <w:cantSplit/>
          <w:jc w:val="center"/>
        </w:trPr>
        <w:tc>
          <w:tcPr>
            <w:tcW w:w="425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bCs/>
                <w:sz w:val="18"/>
              </w:rPr>
              <w:t>60</w:t>
            </w:r>
          </w:p>
        </w:tc>
        <w:tc>
          <w:tcPr>
            <w:tcW w:w="1701"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rPr>
            </w:pPr>
            <w:r>
              <w:rPr>
                <w:sz w:val="18"/>
              </w:rPr>
              <w:t>156.025</w:t>
            </w:r>
          </w:p>
        </w:tc>
        <w:tc>
          <w:tcPr>
            <w:tcW w:w="1474"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rPr>
            </w:pPr>
            <w:r>
              <w:rPr>
                <w:sz w:val="18"/>
              </w:rPr>
              <w:t>–</w:t>
            </w:r>
          </w:p>
        </w:tc>
        <w:tc>
          <w:tcPr>
            <w:tcW w:w="232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rPr>
            </w:pPr>
            <w:r>
              <w:rPr>
                <w:sz w:val="18"/>
              </w:rPr>
              <w:t>160.625</w:t>
            </w:r>
          </w:p>
        </w:tc>
      </w:tr>
      <w:tr w:rsidR="00FD0884" w:rsidRPr="0003188F" w:rsidTr="006071D1">
        <w:trPr>
          <w:cantSplit/>
          <w:jc w:val="center"/>
        </w:trPr>
        <w:tc>
          <w:tcPr>
            <w:tcW w:w="425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sz w:val="18"/>
                <w:lang w:val="en-US"/>
              </w:rPr>
            </w:pPr>
            <w:r>
              <w:rPr>
                <w:b/>
                <w:bCs/>
                <w:sz w:val="18"/>
                <w:lang w:val="en-US"/>
              </w:rPr>
              <w:t>For 12.5 kHz operation on 25 kHz channel:</w:t>
            </w:r>
          </w:p>
        </w:tc>
        <w:tc>
          <w:tcPr>
            <w:tcW w:w="1701"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lang w:val="en-US"/>
              </w:rPr>
            </w:pPr>
          </w:p>
        </w:tc>
        <w:tc>
          <w:tcPr>
            <w:tcW w:w="1474"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lang w:val="en-US"/>
              </w:rPr>
            </w:pPr>
          </w:p>
        </w:tc>
        <w:tc>
          <w:tcPr>
            <w:tcW w:w="232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lang w:val="en-US"/>
              </w:rPr>
            </w:pPr>
          </w:p>
        </w:tc>
      </w:tr>
      <w:tr w:rsidR="00FD0884" w:rsidTr="006071D1">
        <w:trPr>
          <w:cantSplit/>
          <w:jc w:val="center"/>
        </w:trPr>
        <w:tc>
          <w:tcPr>
            <w:tcW w:w="425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bCs/>
                <w:sz w:val="18"/>
              </w:rPr>
              <w:t>460</w:t>
            </w:r>
          </w:p>
        </w:tc>
        <w:tc>
          <w:tcPr>
            <w:tcW w:w="1701"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723"/>
              </w:tabs>
              <w:jc w:val="left"/>
              <w:rPr>
                <w:sz w:val="18"/>
              </w:rPr>
            </w:pPr>
            <w:r>
              <w:rPr>
                <w:sz w:val="18"/>
              </w:rPr>
              <w:t>156.025</w:t>
            </w:r>
          </w:p>
        </w:tc>
        <w:tc>
          <w:tcPr>
            <w:tcW w:w="1474"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617"/>
              </w:tabs>
              <w:jc w:val="left"/>
              <w:rPr>
                <w:sz w:val="18"/>
              </w:rPr>
            </w:pPr>
            <w:r>
              <w:rPr>
                <w:sz w:val="18"/>
              </w:rPr>
              <w:t>–</w:t>
            </w:r>
          </w:p>
        </w:tc>
        <w:tc>
          <w:tcPr>
            <w:tcW w:w="2325" w:type="dxa"/>
          </w:tcPr>
          <w:p w:rsidR="00FD0884" w:rsidRDefault="00FD0884" w:rsidP="006071D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027"/>
              </w:tabs>
              <w:jc w:val="left"/>
              <w:rPr>
                <w:sz w:val="18"/>
              </w:rPr>
            </w:pPr>
            <w:r>
              <w:rPr>
                <w:sz w:val="18"/>
              </w:rPr>
              <w:t>160.625</w:t>
            </w:r>
          </w:p>
        </w:tc>
      </w:tr>
    </w:tbl>
    <w:p w:rsidR="00FD0884" w:rsidRDefault="00FD0884" w:rsidP="00FD0884">
      <w:pPr>
        <w:pStyle w:val="Tablefin"/>
      </w:pPr>
    </w:p>
    <w:p w:rsidR="008C5168" w:rsidRDefault="008C5168" w:rsidP="008C5168">
      <w:pPr>
        <w:rPr>
          <w:lang w:val="en-GB"/>
        </w:rPr>
      </w:pPr>
    </w:p>
    <w:p w:rsidR="008C5168" w:rsidRPr="008C5168" w:rsidRDefault="008C5168" w:rsidP="008C5168">
      <w:pPr>
        <w:rPr>
          <w:lang w:val="en-GB"/>
        </w:rPr>
      </w:pPr>
    </w:p>
    <w:p w:rsidR="008C5168" w:rsidRPr="0057395A" w:rsidRDefault="008C5168" w:rsidP="008C5168">
      <w:pPr>
        <w:pStyle w:val="Line"/>
      </w:pPr>
    </w:p>
    <w:sectPr w:rsidR="008C5168" w:rsidRPr="0057395A" w:rsidSect="007565CC">
      <w:headerReference w:type="even" r:id="rId14"/>
      <w:headerReference w:type="default" r:id="rId15"/>
      <w:pgSz w:w="11907" w:h="16834" w:code="9"/>
      <w:pgMar w:top="1418" w:right="1134" w:bottom="1134" w:left="1134" w:header="720" w:footer="48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1E4" w:rsidRDefault="00DD41E4">
      <w:r>
        <w:separator/>
      </w:r>
    </w:p>
  </w:endnote>
  <w:endnote w:type="continuationSeparator" w:id="0">
    <w:p w:rsidR="00DD41E4" w:rsidRDefault="00DD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1E4" w:rsidRDefault="00DD41E4">
      <w:r>
        <w:separator/>
      </w:r>
    </w:p>
  </w:footnote>
  <w:footnote w:type="continuationSeparator" w:id="0">
    <w:p w:rsidR="00DD41E4" w:rsidRDefault="00DD41E4">
      <w:r>
        <w:continuationSeparator/>
      </w:r>
    </w:p>
  </w:footnote>
  <w:footnote w:id="1">
    <w:p w:rsidR="00DD41E4" w:rsidRPr="00FD0884" w:rsidRDefault="00DD41E4" w:rsidP="00FD0884">
      <w:pPr>
        <w:pStyle w:val="FootnoteText"/>
        <w:rPr>
          <w:lang w:val="en-US"/>
        </w:rPr>
      </w:pPr>
      <w:r w:rsidRPr="00FD0884">
        <w:rPr>
          <w:rStyle w:val="FootnoteReference"/>
          <w:lang w:val="en-US"/>
        </w:rPr>
        <w:t>*</w:t>
      </w:r>
      <w:r w:rsidRPr="00FD0884">
        <w:rPr>
          <w:lang w:val="en-US"/>
        </w:rPr>
        <w:tab/>
        <w:t>This Recommendation should be brought to the attention of the International Maritime Organization (IMO).</w:t>
      </w:r>
    </w:p>
  </w:footnote>
  <w:footnote w:id="2">
    <w:p w:rsidR="00DD41E4" w:rsidRPr="00FD0884" w:rsidRDefault="00DD41E4" w:rsidP="00FD0884">
      <w:pPr>
        <w:pStyle w:val="FootnoteText"/>
        <w:rPr>
          <w:lang w:val="en-US"/>
        </w:rPr>
      </w:pPr>
      <w:r w:rsidRPr="00FD0884">
        <w:rPr>
          <w:rStyle w:val="FootnoteReference"/>
          <w:lang w:val="en-US"/>
        </w:rPr>
        <w:t>**</w:t>
      </w:r>
      <w:r w:rsidRPr="00FD0884">
        <w:rPr>
          <w:lang w:val="en-US"/>
        </w:rPr>
        <w:tab/>
        <w:t>Radiocommunication Study Group 5 made editorial amendments to this Recommendation in November</w:t>
      </w:r>
      <w:r>
        <w:rPr>
          <w:lang w:val="en-US"/>
        </w:rPr>
        <w:t> </w:t>
      </w:r>
      <w:r w:rsidRPr="00FD0884">
        <w:rPr>
          <w:lang w:val="en-US"/>
        </w:rPr>
        <w:t>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1E4" w:rsidRPr="00FC42AF" w:rsidRDefault="00DD41E4">
    <w:pPr>
      <w:pStyle w:val="Header"/>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1C1676">
      <w:rPr>
        <w:rStyle w:val="PageNumber"/>
        <w:b/>
        <w:bCs/>
        <w:noProof/>
      </w:rPr>
      <w:t>10</w:t>
    </w:r>
    <w:r>
      <w:rPr>
        <w:rStyle w:val="PageNumber"/>
        <w:b/>
        <w:bCs/>
      </w:rPr>
      <w:fldChar w:fldCharType="end"/>
    </w:r>
    <w:r w:rsidRPr="00FC42AF">
      <w:tab/>
    </w:r>
    <w:r w:rsidR="001C1676">
      <w:fldChar w:fldCharType="begin"/>
    </w:r>
    <w:r w:rsidR="001C1676">
      <w:instrText xml:space="preserve"> DOCPROPERTY "Header" \* MERGEFORMAT </w:instrText>
    </w:r>
    <w:r w:rsidR="001C1676">
      <w:fldChar w:fldCharType="separate"/>
    </w:r>
    <w:r w:rsidR="001C1676" w:rsidRPr="001C1676">
      <w:rPr>
        <w:b/>
        <w:bCs/>
      </w:rPr>
      <w:t xml:space="preserve">Rec. </w:t>
    </w:r>
    <w:r w:rsidR="001C1676">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1C1676">
      <w:rPr>
        <w:b/>
        <w:bCs/>
        <w:noProof/>
      </w:rPr>
      <w:t>ITU-R  M.1084-5</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1E4" w:rsidRDefault="00DD41E4">
    <w:pPr>
      <w:pStyle w:val="Header"/>
    </w:pPr>
    <w:r>
      <w:tab/>
    </w:r>
    <w:r w:rsidR="001C1676">
      <w:fldChar w:fldCharType="begin"/>
    </w:r>
    <w:r w:rsidR="001C1676">
      <w:instrText xml:space="preserve"> DOCPROPERTY "Header" \* MERGEFORMAT </w:instrText>
    </w:r>
    <w:r w:rsidR="001C1676">
      <w:fldChar w:fldCharType="separate"/>
    </w:r>
    <w:r w:rsidR="001C1676" w:rsidRPr="001C1676">
      <w:rPr>
        <w:b/>
        <w:bCs/>
      </w:rPr>
      <w:t xml:space="preserve">Rec. </w:t>
    </w:r>
    <w:r w:rsidR="001C1676">
      <w:rPr>
        <w:b/>
        <w:bCs/>
      </w:rPr>
      <w:fldChar w:fldCharType="end"/>
    </w:r>
    <w:r>
      <w:rPr>
        <w:b/>
        <w:bCs/>
      </w:rPr>
      <w:t xml:space="preserve"> </w:t>
    </w:r>
    <w:r>
      <w:rPr>
        <w:b/>
        <w:bCs/>
      </w:rPr>
      <w:fldChar w:fldCharType="begin"/>
    </w:r>
    <w:r>
      <w:rPr>
        <w:b/>
        <w:bCs/>
      </w:rPr>
      <w:instrText>styleref href</w:instrText>
    </w:r>
    <w:r>
      <w:rPr>
        <w:b/>
        <w:bCs/>
      </w:rPr>
      <w:fldChar w:fldCharType="separate"/>
    </w:r>
    <w:r w:rsidR="001C1676">
      <w:rPr>
        <w:b/>
        <w:bCs/>
        <w:noProof/>
      </w:rPr>
      <w:t>ITU-R  M.1084-5</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1C1676">
      <w:rPr>
        <w:rStyle w:val="PageNumber"/>
        <w:b/>
        <w:bCs/>
        <w:noProof/>
      </w:rPr>
      <w:t>9</w:t>
    </w:r>
    <w:r>
      <w:rPr>
        <w:rStyle w:val="PageNumbe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3553">
      <o:colormru v:ext="edit" colors="#d62a47"/>
      <o:colormenu v:ext="edit" strokecolor="#d62a4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7"/>
    <w:rsid w:val="00013002"/>
    <w:rsid w:val="0003188F"/>
    <w:rsid w:val="00036EE3"/>
    <w:rsid w:val="00072484"/>
    <w:rsid w:val="00084323"/>
    <w:rsid w:val="00096612"/>
    <w:rsid w:val="000A0A53"/>
    <w:rsid w:val="000A4386"/>
    <w:rsid w:val="000B7683"/>
    <w:rsid w:val="000D0677"/>
    <w:rsid w:val="000E6A6E"/>
    <w:rsid w:val="00102934"/>
    <w:rsid w:val="00107624"/>
    <w:rsid w:val="00147110"/>
    <w:rsid w:val="001511A6"/>
    <w:rsid w:val="001C1676"/>
    <w:rsid w:val="001D7190"/>
    <w:rsid w:val="002058CE"/>
    <w:rsid w:val="002165F1"/>
    <w:rsid w:val="00250CE2"/>
    <w:rsid w:val="002572B3"/>
    <w:rsid w:val="00276D21"/>
    <w:rsid w:val="00291F7A"/>
    <w:rsid w:val="00296D7F"/>
    <w:rsid w:val="002A12B2"/>
    <w:rsid w:val="002B3CF6"/>
    <w:rsid w:val="002C768A"/>
    <w:rsid w:val="002D76C4"/>
    <w:rsid w:val="002F06BF"/>
    <w:rsid w:val="002F5199"/>
    <w:rsid w:val="00333892"/>
    <w:rsid w:val="00343A35"/>
    <w:rsid w:val="00356B5D"/>
    <w:rsid w:val="003E487D"/>
    <w:rsid w:val="0041667C"/>
    <w:rsid w:val="00420DFD"/>
    <w:rsid w:val="00437A76"/>
    <w:rsid w:val="00470E28"/>
    <w:rsid w:val="00470FEC"/>
    <w:rsid w:val="00474CFC"/>
    <w:rsid w:val="004934C5"/>
    <w:rsid w:val="004F65E4"/>
    <w:rsid w:val="00554C61"/>
    <w:rsid w:val="00556548"/>
    <w:rsid w:val="00586EF8"/>
    <w:rsid w:val="005B49AB"/>
    <w:rsid w:val="005B50E7"/>
    <w:rsid w:val="005D0454"/>
    <w:rsid w:val="005E7B4F"/>
    <w:rsid w:val="006003F5"/>
    <w:rsid w:val="00601882"/>
    <w:rsid w:val="006071D1"/>
    <w:rsid w:val="00607D68"/>
    <w:rsid w:val="00613212"/>
    <w:rsid w:val="006149B1"/>
    <w:rsid w:val="00677053"/>
    <w:rsid w:val="00680D2B"/>
    <w:rsid w:val="00681B32"/>
    <w:rsid w:val="006B1D2B"/>
    <w:rsid w:val="006E1131"/>
    <w:rsid w:val="006E2037"/>
    <w:rsid w:val="006E6199"/>
    <w:rsid w:val="00712870"/>
    <w:rsid w:val="00743D85"/>
    <w:rsid w:val="00753CF4"/>
    <w:rsid w:val="007565CC"/>
    <w:rsid w:val="00763B9A"/>
    <w:rsid w:val="00770866"/>
    <w:rsid w:val="00794726"/>
    <w:rsid w:val="007A6AA8"/>
    <w:rsid w:val="007D224F"/>
    <w:rsid w:val="00801E05"/>
    <w:rsid w:val="008310C9"/>
    <w:rsid w:val="00853CC5"/>
    <w:rsid w:val="008C5168"/>
    <w:rsid w:val="008C7848"/>
    <w:rsid w:val="008D09CD"/>
    <w:rsid w:val="00906589"/>
    <w:rsid w:val="00906AD6"/>
    <w:rsid w:val="00917AF2"/>
    <w:rsid w:val="0092418A"/>
    <w:rsid w:val="00934ED7"/>
    <w:rsid w:val="009543C3"/>
    <w:rsid w:val="00966E1B"/>
    <w:rsid w:val="009947C0"/>
    <w:rsid w:val="009F2D2C"/>
    <w:rsid w:val="00A02F11"/>
    <w:rsid w:val="00A31928"/>
    <w:rsid w:val="00A62A14"/>
    <w:rsid w:val="00A6617B"/>
    <w:rsid w:val="00A71FE5"/>
    <w:rsid w:val="00A85612"/>
    <w:rsid w:val="00A971A1"/>
    <w:rsid w:val="00AA3AD8"/>
    <w:rsid w:val="00AB0DC8"/>
    <w:rsid w:val="00B033C8"/>
    <w:rsid w:val="00B13C9C"/>
    <w:rsid w:val="00B33425"/>
    <w:rsid w:val="00B44E24"/>
    <w:rsid w:val="00B53EBC"/>
    <w:rsid w:val="00B54ECC"/>
    <w:rsid w:val="00B714F3"/>
    <w:rsid w:val="00B87B6B"/>
    <w:rsid w:val="00BB0942"/>
    <w:rsid w:val="00BC5D77"/>
    <w:rsid w:val="00BE262F"/>
    <w:rsid w:val="00BF487A"/>
    <w:rsid w:val="00C249B0"/>
    <w:rsid w:val="00C4079F"/>
    <w:rsid w:val="00C44EEB"/>
    <w:rsid w:val="00C46BD9"/>
    <w:rsid w:val="00C55258"/>
    <w:rsid w:val="00C73560"/>
    <w:rsid w:val="00CB0F14"/>
    <w:rsid w:val="00CD659B"/>
    <w:rsid w:val="00CE0A43"/>
    <w:rsid w:val="00D06AFB"/>
    <w:rsid w:val="00D83556"/>
    <w:rsid w:val="00DD35B6"/>
    <w:rsid w:val="00DD41E4"/>
    <w:rsid w:val="00DF4176"/>
    <w:rsid w:val="00E17240"/>
    <w:rsid w:val="00E406BD"/>
    <w:rsid w:val="00E74595"/>
    <w:rsid w:val="00EB0A6D"/>
    <w:rsid w:val="00EB7C57"/>
    <w:rsid w:val="00ED2695"/>
    <w:rsid w:val="00F30C9B"/>
    <w:rsid w:val="00F354B1"/>
    <w:rsid w:val="00F93419"/>
    <w:rsid w:val="00FB0E4E"/>
    <w:rsid w:val="00FC42AF"/>
    <w:rsid w:val="00FD0884"/>
    <w:rsid w:val="00FD15CF"/>
    <w:rsid w:val="00FD40CF"/>
    <w:rsid w:val="00FE7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ru v:ext="edit" colors="#d62a47"/>
      <o:colormenu v:ext="edit" strokecolor="#d62a47"/>
    </o:shapedefaults>
    <o:shapelayout v:ext="edit">
      <o:idmap v:ext="edit" data="1"/>
    </o:shapelayout>
  </w:shapeDefaults>
  <w:decimalSymbol w:val="."/>
  <w:listSeparator w:val=","/>
  <w15:docId w15:val="{248CE303-5A35-4168-8559-C687F845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190"/>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1D7190"/>
    <w:pPr>
      <w:keepNext/>
      <w:keepLines/>
      <w:spacing w:before="480"/>
      <w:ind w:left="794" w:hanging="794"/>
      <w:outlineLvl w:val="0"/>
    </w:pPr>
    <w:rPr>
      <w:b/>
    </w:rPr>
  </w:style>
  <w:style w:type="paragraph" w:styleId="Heading2">
    <w:name w:val="heading 2"/>
    <w:basedOn w:val="Heading1"/>
    <w:next w:val="Normal"/>
    <w:qFormat/>
    <w:rsid w:val="001D7190"/>
    <w:pPr>
      <w:spacing w:before="320"/>
      <w:outlineLvl w:val="1"/>
    </w:pPr>
  </w:style>
  <w:style w:type="paragraph" w:styleId="Heading3">
    <w:name w:val="heading 3"/>
    <w:basedOn w:val="Heading1"/>
    <w:next w:val="Normal"/>
    <w:qFormat/>
    <w:rsid w:val="001D7190"/>
    <w:pPr>
      <w:spacing w:before="200"/>
      <w:outlineLvl w:val="2"/>
    </w:pPr>
  </w:style>
  <w:style w:type="paragraph" w:styleId="Heading4">
    <w:name w:val="heading 4"/>
    <w:basedOn w:val="Heading3"/>
    <w:next w:val="Normal"/>
    <w:qFormat/>
    <w:rsid w:val="001D7190"/>
    <w:pPr>
      <w:tabs>
        <w:tab w:val="clear" w:pos="794"/>
        <w:tab w:val="left" w:pos="992"/>
      </w:tabs>
      <w:ind w:left="992" w:hanging="992"/>
      <w:outlineLvl w:val="3"/>
    </w:pPr>
  </w:style>
  <w:style w:type="paragraph" w:styleId="Heading5">
    <w:name w:val="heading 5"/>
    <w:basedOn w:val="Heading4"/>
    <w:next w:val="Normal"/>
    <w:qFormat/>
    <w:rsid w:val="001D7190"/>
    <w:pPr>
      <w:outlineLvl w:val="4"/>
    </w:pPr>
  </w:style>
  <w:style w:type="paragraph" w:styleId="Heading6">
    <w:name w:val="heading 6"/>
    <w:basedOn w:val="Heading4"/>
    <w:next w:val="Normal"/>
    <w:qFormat/>
    <w:rsid w:val="001D7190"/>
    <w:pPr>
      <w:tabs>
        <w:tab w:val="clear" w:pos="992"/>
        <w:tab w:val="clear" w:pos="1191"/>
      </w:tabs>
      <w:ind w:left="1588" w:hanging="1588"/>
      <w:outlineLvl w:val="5"/>
    </w:pPr>
  </w:style>
  <w:style w:type="paragraph" w:styleId="Heading7">
    <w:name w:val="heading 7"/>
    <w:basedOn w:val="Heading6"/>
    <w:next w:val="Normal"/>
    <w:qFormat/>
    <w:rsid w:val="001D7190"/>
    <w:pPr>
      <w:outlineLvl w:val="6"/>
    </w:pPr>
  </w:style>
  <w:style w:type="paragraph" w:styleId="Heading8">
    <w:name w:val="heading 8"/>
    <w:basedOn w:val="Heading6"/>
    <w:next w:val="Normal"/>
    <w:qFormat/>
    <w:rsid w:val="001D7190"/>
    <w:pPr>
      <w:outlineLvl w:val="7"/>
    </w:pPr>
  </w:style>
  <w:style w:type="paragraph" w:styleId="Heading9">
    <w:name w:val="heading 9"/>
    <w:basedOn w:val="Heading6"/>
    <w:next w:val="Normal"/>
    <w:qFormat/>
    <w:rsid w:val="001D7190"/>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7190"/>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rsid w:val="001D7190"/>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1D7190"/>
  </w:style>
  <w:style w:type="paragraph" w:customStyle="1" w:styleId="Headingb">
    <w:name w:val="Heading_b"/>
    <w:basedOn w:val="Heading3"/>
    <w:next w:val="Normal"/>
    <w:rsid w:val="001D7190"/>
    <w:pPr>
      <w:spacing w:before="160"/>
      <w:ind w:left="0" w:firstLine="0"/>
      <w:outlineLvl w:val="9"/>
    </w:pPr>
  </w:style>
  <w:style w:type="paragraph" w:customStyle="1" w:styleId="Headingi">
    <w:name w:val="Heading_i"/>
    <w:basedOn w:val="Heading3"/>
    <w:next w:val="Normal"/>
    <w:rsid w:val="001D7190"/>
    <w:pPr>
      <w:spacing w:before="160"/>
      <w:ind w:left="0" w:firstLine="0"/>
    </w:pPr>
    <w:rPr>
      <w:b w:val="0"/>
      <w:i/>
    </w:rPr>
  </w:style>
  <w:style w:type="character" w:customStyle="1" w:styleId="href">
    <w:name w:val="href"/>
    <w:basedOn w:val="DefaultParagraphFont"/>
    <w:rsid w:val="001D7190"/>
  </w:style>
  <w:style w:type="paragraph" w:customStyle="1" w:styleId="AnnexNoTitle">
    <w:name w:val="Annex_NoTitle"/>
    <w:basedOn w:val="Normal"/>
    <w:next w:val="Normalaftertitle"/>
    <w:rsid w:val="001D7190"/>
    <w:pPr>
      <w:keepNext/>
      <w:keepLines/>
      <w:spacing w:before="480" w:after="80"/>
      <w:jc w:val="center"/>
    </w:pPr>
    <w:rPr>
      <w:b/>
      <w:sz w:val="28"/>
    </w:rPr>
  </w:style>
  <w:style w:type="paragraph" w:customStyle="1" w:styleId="Normalaftertitle">
    <w:name w:val="Normal_after_title"/>
    <w:basedOn w:val="Normal"/>
    <w:next w:val="Normal"/>
    <w:rsid w:val="001D7190"/>
    <w:pPr>
      <w:spacing w:before="320"/>
    </w:pPr>
  </w:style>
  <w:style w:type="paragraph" w:customStyle="1" w:styleId="enumlev2">
    <w:name w:val="enumlev2"/>
    <w:basedOn w:val="enumlev1"/>
    <w:rsid w:val="001D7190"/>
    <w:pPr>
      <w:ind w:left="1191" w:hanging="397"/>
    </w:pPr>
  </w:style>
  <w:style w:type="paragraph" w:customStyle="1" w:styleId="enumlev1">
    <w:name w:val="enumlev1"/>
    <w:basedOn w:val="Normal"/>
    <w:rsid w:val="001D7190"/>
    <w:pPr>
      <w:spacing w:before="80"/>
      <w:ind w:left="794" w:hanging="794"/>
    </w:pPr>
  </w:style>
  <w:style w:type="paragraph" w:customStyle="1" w:styleId="enumlev3">
    <w:name w:val="enumlev3"/>
    <w:basedOn w:val="enumlev2"/>
    <w:rsid w:val="001D7190"/>
    <w:pPr>
      <w:ind w:left="1588"/>
    </w:pPr>
  </w:style>
  <w:style w:type="paragraph" w:customStyle="1" w:styleId="Note">
    <w:name w:val="Note"/>
    <w:basedOn w:val="Normal"/>
    <w:rsid w:val="001D7190"/>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1D719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1D7190"/>
    <w:pPr>
      <w:keepNext/>
      <w:keepLines/>
      <w:spacing w:before="240"/>
      <w:jc w:val="center"/>
    </w:pPr>
    <w:rPr>
      <w:b/>
      <w:sz w:val="28"/>
    </w:rPr>
  </w:style>
  <w:style w:type="paragraph" w:customStyle="1" w:styleId="Recref">
    <w:name w:val="Rec_ref"/>
    <w:basedOn w:val="Normal"/>
    <w:next w:val="Recdate"/>
    <w:rsid w:val="001D7190"/>
    <w:pPr>
      <w:jc w:val="center"/>
    </w:pPr>
  </w:style>
  <w:style w:type="paragraph" w:customStyle="1" w:styleId="Recdate">
    <w:name w:val="Rec_date"/>
    <w:basedOn w:val="Recref"/>
    <w:next w:val="Normalaftertitle"/>
    <w:rsid w:val="001D7190"/>
    <w:pPr>
      <w:jc w:val="right"/>
    </w:pPr>
  </w:style>
  <w:style w:type="paragraph" w:customStyle="1" w:styleId="HeadingSum">
    <w:name w:val="Heading_Sum"/>
    <w:basedOn w:val="Headingb"/>
    <w:next w:val="Normal"/>
    <w:rsid w:val="001D7190"/>
    <w:pPr>
      <w:spacing w:before="240"/>
    </w:pPr>
    <w:rPr>
      <w:sz w:val="22"/>
      <w:lang w:val="es-ES_tradnl"/>
    </w:rPr>
  </w:style>
  <w:style w:type="paragraph" w:customStyle="1" w:styleId="AppendixNoTitle">
    <w:name w:val="Appendix_NoTitle"/>
    <w:basedOn w:val="AnnexNoTitle"/>
    <w:next w:val="Normal"/>
    <w:rsid w:val="001D7190"/>
  </w:style>
  <w:style w:type="paragraph" w:customStyle="1" w:styleId="Tablefin">
    <w:name w:val="Table_fin"/>
    <w:basedOn w:val="Normal"/>
    <w:next w:val="Normal"/>
    <w:rsid w:val="001D7190"/>
    <w:pPr>
      <w:spacing w:before="0"/>
    </w:pPr>
    <w:rPr>
      <w:sz w:val="20"/>
      <w:lang w:val="en-GB"/>
    </w:rPr>
  </w:style>
  <w:style w:type="paragraph" w:customStyle="1" w:styleId="Tablehead">
    <w:name w:val="Table_head"/>
    <w:basedOn w:val="Normal"/>
    <w:next w:val="Normal"/>
    <w:rsid w:val="001D719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1D719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1D7190"/>
    <w:pPr>
      <w:keepNext/>
      <w:spacing w:before="360" w:after="120"/>
      <w:jc w:val="center"/>
    </w:pPr>
  </w:style>
  <w:style w:type="paragraph" w:customStyle="1" w:styleId="Tabletext">
    <w:name w:val="Table_text"/>
    <w:basedOn w:val="Normal"/>
    <w:rsid w:val="001D719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1D7190"/>
    <w:pPr>
      <w:tabs>
        <w:tab w:val="clear" w:pos="1191"/>
        <w:tab w:val="clear" w:pos="1588"/>
        <w:tab w:val="clear" w:pos="1985"/>
        <w:tab w:val="center" w:pos="4820"/>
        <w:tab w:val="right" w:pos="9639"/>
      </w:tabs>
    </w:pPr>
  </w:style>
  <w:style w:type="paragraph" w:customStyle="1" w:styleId="Equationlegend">
    <w:name w:val="Equation_legend"/>
    <w:basedOn w:val="NormalIndent"/>
    <w:rsid w:val="001D719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1D7190"/>
    <w:pPr>
      <w:ind w:left="794"/>
    </w:pPr>
  </w:style>
  <w:style w:type="paragraph" w:customStyle="1" w:styleId="Figurelegend">
    <w:name w:val="Figure_legend"/>
    <w:basedOn w:val="Normal"/>
    <w:rsid w:val="001D7190"/>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1D7190"/>
    <w:pPr>
      <w:keepNext/>
      <w:keepLines/>
      <w:spacing w:before="480" w:after="80"/>
      <w:jc w:val="center"/>
    </w:pPr>
    <w:rPr>
      <w:caps/>
      <w:sz w:val="18"/>
    </w:rPr>
  </w:style>
  <w:style w:type="paragraph" w:customStyle="1" w:styleId="Figuretitle">
    <w:name w:val="Figure_title"/>
    <w:basedOn w:val="Normal"/>
    <w:next w:val="Figure"/>
    <w:rsid w:val="001D7190"/>
    <w:pPr>
      <w:keepNext/>
      <w:spacing w:before="0" w:after="120"/>
      <w:jc w:val="center"/>
    </w:pPr>
    <w:rPr>
      <w:rFonts w:ascii="Times New Roman Bold" w:hAnsi="Times New Roman Bold"/>
      <w:b/>
      <w:sz w:val="18"/>
    </w:rPr>
  </w:style>
  <w:style w:type="paragraph" w:customStyle="1" w:styleId="Figure">
    <w:name w:val="Figure"/>
    <w:basedOn w:val="FigureNo"/>
    <w:next w:val="Normal"/>
    <w:rsid w:val="001D7190"/>
    <w:pPr>
      <w:keepNext w:val="0"/>
      <w:spacing w:before="0" w:after="240"/>
    </w:pPr>
  </w:style>
  <w:style w:type="paragraph" w:customStyle="1" w:styleId="tocpart">
    <w:name w:val="tocpart"/>
    <w:basedOn w:val="Normal"/>
    <w:rsid w:val="001D719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1D7190"/>
    <w:pPr>
      <w:keepNext/>
      <w:keepLines/>
      <w:spacing w:before="480"/>
      <w:jc w:val="center"/>
    </w:pPr>
    <w:rPr>
      <w:sz w:val="28"/>
    </w:rPr>
  </w:style>
  <w:style w:type="paragraph" w:customStyle="1" w:styleId="Arttitle">
    <w:name w:val="Art_title"/>
    <w:basedOn w:val="Normal"/>
    <w:next w:val="Normalaftertitle"/>
    <w:rsid w:val="001D7190"/>
    <w:pPr>
      <w:keepNext/>
      <w:keepLines/>
      <w:spacing w:before="240"/>
      <w:jc w:val="center"/>
    </w:pPr>
    <w:rPr>
      <w:b/>
      <w:sz w:val="28"/>
    </w:rPr>
  </w:style>
  <w:style w:type="paragraph" w:customStyle="1" w:styleId="Blanc">
    <w:name w:val="Blanc"/>
    <w:basedOn w:val="Normal"/>
    <w:next w:val="Tabletext"/>
    <w:rsid w:val="001D719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1D719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1D7190"/>
    <w:pPr>
      <w:keepNext/>
      <w:keepLines/>
      <w:spacing w:before="160"/>
      <w:ind w:left="794"/>
    </w:pPr>
    <w:rPr>
      <w:i/>
    </w:rPr>
  </w:style>
  <w:style w:type="paragraph" w:customStyle="1" w:styleId="ChapNo">
    <w:name w:val="Chap_No"/>
    <w:basedOn w:val="ArtNo"/>
    <w:next w:val="Chaptitle"/>
    <w:rsid w:val="001D7190"/>
    <w:rPr>
      <w:b/>
    </w:rPr>
  </w:style>
  <w:style w:type="paragraph" w:customStyle="1" w:styleId="Chaptitle">
    <w:name w:val="Chap_title"/>
    <w:basedOn w:val="Arttitle"/>
    <w:next w:val="Normalaftertitle"/>
    <w:rsid w:val="001D7190"/>
  </w:style>
  <w:style w:type="character" w:styleId="FootnoteReference">
    <w:name w:val="footnote reference"/>
    <w:basedOn w:val="DefaultParagraphFont"/>
    <w:semiHidden/>
    <w:rsid w:val="001D7190"/>
    <w:rPr>
      <w:position w:val="6"/>
      <w:sz w:val="18"/>
    </w:rPr>
  </w:style>
  <w:style w:type="paragraph" w:styleId="FootnoteText">
    <w:name w:val="footnote text"/>
    <w:basedOn w:val="Normal"/>
    <w:semiHidden/>
    <w:rsid w:val="001D7190"/>
    <w:pPr>
      <w:keepLines/>
      <w:tabs>
        <w:tab w:val="left" w:pos="255"/>
      </w:tabs>
      <w:ind w:left="255" w:hanging="255"/>
    </w:pPr>
    <w:rPr>
      <w:sz w:val="22"/>
    </w:rPr>
  </w:style>
  <w:style w:type="paragraph" w:styleId="Index1">
    <w:name w:val="index 1"/>
    <w:basedOn w:val="Normal"/>
    <w:next w:val="Normal"/>
    <w:semiHidden/>
    <w:rsid w:val="001D7190"/>
  </w:style>
  <w:style w:type="paragraph" w:styleId="Index2">
    <w:name w:val="index 2"/>
    <w:basedOn w:val="Normal"/>
    <w:next w:val="Normal"/>
    <w:semiHidden/>
    <w:rsid w:val="001D7190"/>
    <w:pPr>
      <w:ind w:left="283"/>
    </w:pPr>
  </w:style>
  <w:style w:type="paragraph" w:styleId="Index3">
    <w:name w:val="index 3"/>
    <w:basedOn w:val="Normal"/>
    <w:next w:val="Normal"/>
    <w:semiHidden/>
    <w:rsid w:val="001D7190"/>
    <w:pPr>
      <w:ind w:left="566"/>
    </w:pPr>
  </w:style>
  <w:style w:type="paragraph" w:styleId="IndexHeading">
    <w:name w:val="index heading"/>
    <w:basedOn w:val="Normal"/>
    <w:next w:val="Index1"/>
    <w:semiHidden/>
    <w:rsid w:val="001D7190"/>
  </w:style>
  <w:style w:type="paragraph" w:customStyle="1" w:styleId="Line">
    <w:name w:val="Line"/>
    <w:basedOn w:val="Normal"/>
    <w:next w:val="Normal"/>
    <w:rsid w:val="001D719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1D719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1D7190"/>
  </w:style>
  <w:style w:type="paragraph" w:customStyle="1" w:styleId="Partref">
    <w:name w:val="Part_ref"/>
    <w:basedOn w:val="Normal"/>
    <w:next w:val="Normal"/>
    <w:rsid w:val="001D7190"/>
    <w:pPr>
      <w:keepNext/>
      <w:keepLines/>
      <w:spacing w:after="280"/>
      <w:jc w:val="center"/>
    </w:pPr>
  </w:style>
  <w:style w:type="paragraph" w:customStyle="1" w:styleId="Parttitle">
    <w:name w:val="Part_title"/>
    <w:basedOn w:val="Normal"/>
    <w:next w:val="Normalaftertitle"/>
    <w:rsid w:val="001D719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1D7190"/>
  </w:style>
  <w:style w:type="paragraph" w:customStyle="1" w:styleId="QuestionNo">
    <w:name w:val="Question_No"/>
    <w:basedOn w:val="RecNo"/>
    <w:next w:val="Normal"/>
    <w:rsid w:val="001D7190"/>
  </w:style>
  <w:style w:type="paragraph" w:customStyle="1" w:styleId="Questionref">
    <w:name w:val="Question_ref"/>
    <w:basedOn w:val="Recref"/>
    <w:next w:val="Questiondate"/>
    <w:rsid w:val="001D7190"/>
  </w:style>
  <w:style w:type="paragraph" w:customStyle="1" w:styleId="Questiontitle">
    <w:name w:val="Question_title"/>
    <w:basedOn w:val="Normal"/>
    <w:next w:val="Questionref"/>
    <w:rsid w:val="001D7190"/>
  </w:style>
  <w:style w:type="paragraph" w:customStyle="1" w:styleId="Reftext">
    <w:name w:val="Ref_text"/>
    <w:basedOn w:val="Normal"/>
    <w:rsid w:val="001D7190"/>
    <w:pPr>
      <w:ind w:left="794" w:hanging="794"/>
    </w:pPr>
    <w:rPr>
      <w:sz w:val="22"/>
    </w:rPr>
  </w:style>
  <w:style w:type="paragraph" w:customStyle="1" w:styleId="Reftitle">
    <w:name w:val="Ref_title"/>
    <w:basedOn w:val="Normal"/>
    <w:next w:val="Reftext"/>
    <w:rsid w:val="001D719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1D7190"/>
  </w:style>
  <w:style w:type="paragraph" w:customStyle="1" w:styleId="RepNo">
    <w:name w:val="Rep_No"/>
    <w:basedOn w:val="RecNo"/>
    <w:next w:val="Reptitle"/>
    <w:rsid w:val="001D7190"/>
  </w:style>
  <w:style w:type="paragraph" w:customStyle="1" w:styleId="Reptitle">
    <w:name w:val="Rep_title"/>
    <w:basedOn w:val="Rectitle"/>
    <w:next w:val="Repref"/>
    <w:rsid w:val="001D7190"/>
  </w:style>
  <w:style w:type="paragraph" w:customStyle="1" w:styleId="Repref">
    <w:name w:val="Rep_ref"/>
    <w:basedOn w:val="Recref"/>
    <w:next w:val="Repdate"/>
    <w:rsid w:val="001D7190"/>
  </w:style>
  <w:style w:type="paragraph" w:customStyle="1" w:styleId="Resdate">
    <w:name w:val="Res_date"/>
    <w:basedOn w:val="Recdate"/>
    <w:next w:val="Normalaftertitle"/>
    <w:rsid w:val="001D7190"/>
  </w:style>
  <w:style w:type="paragraph" w:customStyle="1" w:styleId="ResNo">
    <w:name w:val="Res_No"/>
    <w:basedOn w:val="RecNo"/>
    <w:next w:val="Restitle"/>
    <w:rsid w:val="001D7190"/>
  </w:style>
  <w:style w:type="paragraph" w:customStyle="1" w:styleId="Restitle">
    <w:name w:val="Res_title"/>
    <w:basedOn w:val="Normal"/>
    <w:next w:val="Resref"/>
    <w:rsid w:val="001D7190"/>
    <w:pPr>
      <w:spacing w:before="240"/>
      <w:jc w:val="center"/>
    </w:pPr>
    <w:rPr>
      <w:b/>
      <w:sz w:val="28"/>
    </w:rPr>
  </w:style>
  <w:style w:type="paragraph" w:customStyle="1" w:styleId="Resref">
    <w:name w:val="Res_ref"/>
    <w:basedOn w:val="Recref"/>
    <w:next w:val="Resdate"/>
    <w:rsid w:val="001D7190"/>
  </w:style>
  <w:style w:type="paragraph" w:customStyle="1" w:styleId="SectionNo">
    <w:name w:val="Section_No"/>
    <w:basedOn w:val="Normal"/>
    <w:next w:val="Normal"/>
    <w:rsid w:val="001D7190"/>
  </w:style>
  <w:style w:type="paragraph" w:customStyle="1" w:styleId="Sectiontitle">
    <w:name w:val="Section_title"/>
    <w:basedOn w:val="Normal"/>
    <w:next w:val="Normalaftertitle"/>
    <w:rsid w:val="001D719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1D7190"/>
    <w:pPr>
      <w:tabs>
        <w:tab w:val="clear" w:pos="794"/>
        <w:tab w:val="clear" w:pos="1191"/>
        <w:tab w:val="clear" w:pos="1588"/>
        <w:tab w:val="clear" w:pos="1985"/>
        <w:tab w:val="right" w:pos="9611"/>
      </w:tabs>
    </w:pPr>
    <w:rPr>
      <w:i/>
    </w:rPr>
  </w:style>
  <w:style w:type="paragraph" w:styleId="TOC1">
    <w:name w:val="toc 1"/>
    <w:basedOn w:val="Normal"/>
    <w:semiHidden/>
    <w:rsid w:val="001D719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1D7190"/>
    <w:pPr>
      <w:tabs>
        <w:tab w:val="clear" w:pos="567"/>
        <w:tab w:val="left" w:pos="1276"/>
      </w:tabs>
      <w:spacing w:before="160"/>
      <w:ind w:left="1276" w:hanging="709"/>
    </w:pPr>
  </w:style>
  <w:style w:type="paragraph" w:styleId="TOC3">
    <w:name w:val="toc 3"/>
    <w:basedOn w:val="TOC2"/>
    <w:semiHidden/>
    <w:rsid w:val="001D7190"/>
    <w:pPr>
      <w:tabs>
        <w:tab w:val="clear" w:pos="1276"/>
        <w:tab w:val="left" w:pos="2155"/>
      </w:tabs>
      <w:ind w:left="2155" w:hanging="879"/>
    </w:pPr>
  </w:style>
  <w:style w:type="paragraph" w:styleId="TOC4">
    <w:name w:val="toc 4"/>
    <w:basedOn w:val="TOC3"/>
    <w:semiHidden/>
    <w:rsid w:val="001D7190"/>
    <w:pPr>
      <w:tabs>
        <w:tab w:val="left" w:pos="3261"/>
      </w:tabs>
      <w:spacing w:before="80"/>
      <w:ind w:left="3261" w:hanging="993"/>
    </w:pPr>
  </w:style>
  <w:style w:type="paragraph" w:styleId="TOC5">
    <w:name w:val="toc 5"/>
    <w:basedOn w:val="TOC4"/>
    <w:semiHidden/>
    <w:rsid w:val="001D7190"/>
  </w:style>
  <w:style w:type="paragraph" w:styleId="TOC6">
    <w:name w:val="toc 6"/>
    <w:basedOn w:val="TOC4"/>
    <w:semiHidden/>
    <w:rsid w:val="001D7190"/>
  </w:style>
  <w:style w:type="paragraph" w:styleId="TOC7">
    <w:name w:val="toc 7"/>
    <w:basedOn w:val="TOC4"/>
    <w:semiHidden/>
    <w:rsid w:val="001D7190"/>
  </w:style>
  <w:style w:type="paragraph" w:styleId="TOC8">
    <w:name w:val="toc 8"/>
    <w:basedOn w:val="TOC4"/>
    <w:semiHidden/>
    <w:rsid w:val="001D7190"/>
  </w:style>
  <w:style w:type="paragraph" w:customStyle="1" w:styleId="Annexref">
    <w:name w:val="Annex_ref"/>
    <w:basedOn w:val="Normal"/>
    <w:next w:val="Normalaftertitle"/>
    <w:rsid w:val="001D7190"/>
    <w:pPr>
      <w:keepNext/>
      <w:keepLines/>
      <w:spacing w:after="280"/>
      <w:jc w:val="center"/>
    </w:pPr>
  </w:style>
  <w:style w:type="paragraph" w:customStyle="1" w:styleId="Appendixref">
    <w:name w:val="Appendix_ref"/>
    <w:basedOn w:val="Annexref"/>
    <w:next w:val="Normalaftertitle"/>
    <w:rsid w:val="001D7190"/>
  </w:style>
  <w:style w:type="paragraph" w:customStyle="1" w:styleId="Tabletitle">
    <w:name w:val="Table_title"/>
    <w:basedOn w:val="Normal"/>
    <w:next w:val="Tablehead"/>
    <w:rsid w:val="001D7190"/>
    <w:pPr>
      <w:keepNext/>
      <w:spacing w:before="0" w:after="120"/>
      <w:jc w:val="center"/>
    </w:pPr>
    <w:rPr>
      <w:b/>
    </w:rPr>
  </w:style>
  <w:style w:type="paragraph" w:customStyle="1" w:styleId="Summary">
    <w:name w:val="Summary"/>
    <w:basedOn w:val="Normal"/>
    <w:next w:val="Normalaftertitle"/>
    <w:rsid w:val="001D7190"/>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1D7190"/>
    <w:pPr>
      <w:ind w:left="-85" w:firstLine="0"/>
    </w:pPr>
    <w:rPr>
      <w:lang w:val="en-US"/>
    </w:rPr>
  </w:style>
  <w:style w:type="paragraph" w:customStyle="1" w:styleId="AnnexNo">
    <w:name w:val="Annex_No"/>
    <w:basedOn w:val="Normal"/>
    <w:next w:val="Annextitle"/>
    <w:rsid w:val="00FD0884"/>
    <w:pPr>
      <w:keepNext/>
      <w:keepLines/>
      <w:spacing w:before="480" w:after="80"/>
      <w:jc w:val="center"/>
    </w:pPr>
    <w:rPr>
      <w:sz w:val="28"/>
    </w:rPr>
  </w:style>
  <w:style w:type="paragraph" w:customStyle="1" w:styleId="Annextitle">
    <w:name w:val="Annex_title"/>
    <w:basedOn w:val="Arttitle"/>
    <w:next w:val="Normalaftertitle"/>
    <w:rsid w:val="00FD0884"/>
    <w:pPr>
      <w:tabs>
        <w:tab w:val="clear" w:pos="794"/>
        <w:tab w:val="clear" w:pos="1191"/>
        <w:tab w:val="clear" w:pos="1588"/>
        <w:tab w:val="clear" w:pos="1985"/>
      </w:tabs>
      <w:spacing w:before="280" w:after="40"/>
    </w:pPr>
  </w:style>
  <w:style w:type="paragraph" w:customStyle="1" w:styleId="TableText0">
    <w:name w:val="Table_Text"/>
    <w:basedOn w:val="Normal"/>
    <w:rsid w:val="00FD088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ECA99-6AA1-4C40-BCFC-2DEA29DB4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2</TotalTime>
  <Pages>12</Pages>
  <Words>2656</Words>
  <Characters>17717</Characters>
  <Application>Microsoft Office Word</Application>
  <DocSecurity>0</DocSecurity>
  <Lines>478</Lines>
  <Paragraphs>90</Paragraphs>
  <ScaleCrop>false</ScaleCrop>
  <HeadingPairs>
    <vt:vector size="2" baseType="variant">
      <vt:variant>
        <vt:lpstr>Title</vt:lpstr>
      </vt:variant>
      <vt:variant>
        <vt:i4>1</vt:i4>
      </vt:variant>
    </vt:vector>
  </HeadingPairs>
  <TitlesOfParts>
    <vt:vector size="1" baseType="lpstr">
      <vt:lpstr>RECOMMENDATION  ITU-R  M.1084-4*, ** - Interim solutions for improved efficiency in the use of the band 156-174 MHz by stations in the maritime mobile service</vt:lpstr>
    </vt:vector>
  </TitlesOfParts>
  <Manager/>
  <Company>ITU</Company>
  <LinksUpToDate>false</LinksUpToDate>
  <CharactersWithSpaces>20283</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M.1084-4*, ** - Interim solutions for improved efficiency in the use of the band 156-174 MHz by stations in the maritime mobile service</dc:title>
  <dc:subject>M Series = Mobile, radiodetermination, amateur and related satellite services</dc:subject>
  <dc:creator>ITU Radiocommunication Bureau (BR)</dc:creator>
  <cp:keywords>M,1084-4*,</cp:keywords>
  <dc:description>Santosbo, 08.03.2011, MSB106309</dc:description>
  <cp:lastModifiedBy>Gachet, Christelle</cp:lastModifiedBy>
  <cp:revision>4</cp:revision>
  <cp:lastPrinted>2012-02-28T10:41:00Z</cp:lastPrinted>
  <dcterms:created xsi:type="dcterms:W3CDTF">2016-05-02T12:46:00Z</dcterms:created>
  <dcterms:modified xsi:type="dcterms:W3CDTF">2016-05-02T12:47:00Z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08 March 2011</vt:lpwstr>
  </property>
</Properties>
</file>