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B93FC" w14:textId="77777777" w:rsidR="00563597" w:rsidRPr="00052F66" w:rsidRDefault="00563597" w:rsidP="00563597">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sidR="0026209F">
        <w:rPr>
          <w:rStyle w:val="href"/>
          <w:lang w:val="en-US"/>
        </w:rPr>
        <w:t>1174</w:t>
      </w:r>
      <w:r w:rsidR="000A4786">
        <w:rPr>
          <w:rStyle w:val="href"/>
          <w:lang w:val="en-US"/>
        </w:rPr>
        <w:t>-</w:t>
      </w:r>
      <w:r w:rsidR="0026209F">
        <w:rPr>
          <w:rStyle w:val="href"/>
          <w:lang w:val="en-US"/>
        </w:rPr>
        <w:t>4</w:t>
      </w:r>
      <w:r w:rsidR="00335982">
        <w:rPr>
          <w:rStyle w:val="FootnoteReference"/>
          <w:lang w:val="en-US"/>
        </w:rPr>
        <w:footnoteReference w:customMarkFollows="1" w:id="1"/>
        <w:t>*</w:t>
      </w:r>
    </w:p>
    <w:p w14:paraId="7708E690" w14:textId="77777777" w:rsidR="00563597" w:rsidRDefault="0026209F" w:rsidP="00563597">
      <w:pPr>
        <w:pStyle w:val="Rectitle"/>
        <w:rPr>
          <w:lang w:val="en-GB"/>
        </w:rPr>
      </w:pPr>
      <w:r w:rsidRPr="0026209F">
        <w:rPr>
          <w:lang w:val="en-GB"/>
        </w:rPr>
        <w:t xml:space="preserve">Technical characteristics of equipment used for on-board vessel communications in the bands between 450 and </w:t>
      </w:r>
      <w:bookmarkStart w:id="1" w:name="_GoBack"/>
      <w:bookmarkEnd w:id="1"/>
      <w:r w:rsidRPr="0026209F">
        <w:rPr>
          <w:lang w:val="en-GB"/>
        </w:rPr>
        <w:t>470 MHz</w:t>
      </w:r>
    </w:p>
    <w:p w14:paraId="2B820F1D" w14:textId="77777777" w:rsidR="004220E0" w:rsidRDefault="0026209F" w:rsidP="004220E0">
      <w:pPr>
        <w:pStyle w:val="Recdate"/>
        <w:rPr>
          <w:lang w:val="en-GB"/>
        </w:rPr>
      </w:pPr>
      <w:r w:rsidRPr="0026209F">
        <w:rPr>
          <w:lang w:val="en-GB"/>
        </w:rPr>
        <w:t>(1995-1998-2004-2015-2019)</w:t>
      </w:r>
    </w:p>
    <w:p w14:paraId="378A8C33" w14:textId="77777777" w:rsidR="0026209F" w:rsidRPr="002B5EEA" w:rsidRDefault="0026209F" w:rsidP="0026209F">
      <w:pPr>
        <w:pStyle w:val="HeadingSum"/>
        <w:rPr>
          <w:lang w:val="en-GB"/>
        </w:rPr>
      </w:pPr>
      <w:r w:rsidRPr="002B5EEA">
        <w:rPr>
          <w:lang w:val="en-GB"/>
        </w:rPr>
        <w:t>Scope</w:t>
      </w:r>
    </w:p>
    <w:p w14:paraId="59315100" w14:textId="77777777" w:rsidR="0026209F" w:rsidRPr="002B5EEA" w:rsidRDefault="0026209F" w:rsidP="0026209F">
      <w:pPr>
        <w:pStyle w:val="Summary"/>
        <w:rPr>
          <w:lang w:val="en-GB"/>
        </w:rPr>
      </w:pPr>
      <w:r w:rsidRPr="002B5EEA">
        <w:rPr>
          <w:lang w:val="en-GB"/>
        </w:rPr>
        <w:t xml:space="preserve">This Recommendation describes the technical characteristics for equipment operating in the maritime mobile services in accordance with the provisions of No. </w:t>
      </w:r>
      <w:r w:rsidRPr="002B5EEA">
        <w:rPr>
          <w:b/>
          <w:bCs/>
          <w:lang w:val="en-GB"/>
        </w:rPr>
        <w:t>5.287</w:t>
      </w:r>
      <w:r w:rsidRPr="002B5EEA">
        <w:rPr>
          <w:lang w:val="en-GB"/>
        </w:rPr>
        <w:t xml:space="preserve"> of the Radio Regulations (RR) for on-board vessel communications. Provision is made for 25 kHz or 12.5 kHz channel spacing for analogue and digital technologies. In addition, 6.25 kHz channel spacing may also be used for digital technology.</w:t>
      </w:r>
    </w:p>
    <w:p w14:paraId="53FD49FC" w14:textId="77777777" w:rsidR="0026209F" w:rsidRPr="0026209F" w:rsidRDefault="0026209F" w:rsidP="0026209F">
      <w:pPr>
        <w:pStyle w:val="Headingb"/>
        <w:rPr>
          <w:lang w:val="en-GB"/>
        </w:rPr>
      </w:pPr>
      <w:r w:rsidRPr="0026209F">
        <w:rPr>
          <w:lang w:val="en-GB"/>
        </w:rPr>
        <w:t>Keywords</w:t>
      </w:r>
    </w:p>
    <w:p w14:paraId="370C3259" w14:textId="77777777" w:rsidR="0026209F" w:rsidRPr="0026209F" w:rsidRDefault="0026209F" w:rsidP="0026209F">
      <w:pPr>
        <w:rPr>
          <w:lang w:val="en-GB"/>
        </w:rPr>
      </w:pPr>
      <w:r w:rsidRPr="0026209F">
        <w:rPr>
          <w:lang w:val="en-GB"/>
        </w:rPr>
        <w:t>Maritime, on-board communication, territorial waters, channel spacing, frequency arrangement, UHF</w:t>
      </w:r>
    </w:p>
    <w:p w14:paraId="69F44617" w14:textId="77777777" w:rsidR="0026209F" w:rsidRPr="0026209F" w:rsidRDefault="0026209F" w:rsidP="0026209F">
      <w:pPr>
        <w:pStyle w:val="Headingb"/>
        <w:rPr>
          <w:lang w:val="en-GB"/>
        </w:rPr>
      </w:pPr>
      <w:r w:rsidRPr="0026209F">
        <w:rPr>
          <w:lang w:val="en-GB"/>
        </w:rPr>
        <w:t>Abbreviations/Glossary</w:t>
      </w:r>
    </w:p>
    <w:p w14:paraId="5B31BE50" w14:textId="77777777" w:rsidR="0026209F" w:rsidRPr="0026209F" w:rsidRDefault="0026209F" w:rsidP="0026209F">
      <w:pPr>
        <w:rPr>
          <w:lang w:val="en-GB"/>
        </w:rPr>
      </w:pPr>
      <w:r w:rsidRPr="0026209F">
        <w:rPr>
          <w:lang w:val="en-GB"/>
        </w:rPr>
        <w:t>Ch.</w:t>
      </w:r>
      <w:r w:rsidRPr="0026209F">
        <w:rPr>
          <w:lang w:val="en-GB"/>
        </w:rPr>
        <w:tab/>
        <w:t>Channel number</w:t>
      </w:r>
    </w:p>
    <w:p w14:paraId="1E5EFABA" w14:textId="77777777" w:rsidR="0026209F" w:rsidRPr="0026209F" w:rsidRDefault="0026209F" w:rsidP="0026209F">
      <w:pPr>
        <w:rPr>
          <w:b/>
          <w:lang w:val="en-GB"/>
        </w:rPr>
      </w:pPr>
      <w:r w:rsidRPr="0026209F">
        <w:rPr>
          <w:lang w:val="en-GB"/>
        </w:rPr>
        <w:t>DCS:</w:t>
      </w:r>
      <w:r w:rsidRPr="0026209F">
        <w:rPr>
          <w:lang w:val="en-GB"/>
        </w:rPr>
        <w:tab/>
        <w:t>Digital coded squelch</w:t>
      </w:r>
    </w:p>
    <w:p w14:paraId="3CC5681E" w14:textId="77777777" w:rsidR="0026209F" w:rsidRPr="0026209F" w:rsidRDefault="0026209F" w:rsidP="0026209F">
      <w:pPr>
        <w:rPr>
          <w:lang w:val="en-GB"/>
        </w:rPr>
      </w:pPr>
      <w:r w:rsidRPr="0026209F">
        <w:rPr>
          <w:szCs w:val="24"/>
          <w:lang w:val="en-GB"/>
        </w:rPr>
        <w:t>FSK</w:t>
      </w:r>
      <w:r w:rsidRPr="0026209F">
        <w:rPr>
          <w:szCs w:val="24"/>
          <w:lang w:val="en-GB"/>
        </w:rPr>
        <w:tab/>
        <w:t>Frequency-shift keying modulation</w:t>
      </w:r>
    </w:p>
    <w:p w14:paraId="7C3829BA" w14:textId="77777777" w:rsidR="0026209F" w:rsidRPr="0026209F" w:rsidRDefault="0026209F" w:rsidP="0026209F">
      <w:pPr>
        <w:pStyle w:val="Normalaftertitle"/>
        <w:rPr>
          <w:lang w:val="en-GB"/>
        </w:rPr>
      </w:pPr>
      <w:r w:rsidRPr="0026209F">
        <w:rPr>
          <w:lang w:val="en-GB"/>
        </w:rPr>
        <w:t>The ITU Radiocommunication Assembly,</w:t>
      </w:r>
    </w:p>
    <w:p w14:paraId="11A5B4D1" w14:textId="77777777" w:rsidR="0026209F" w:rsidRPr="0026209F" w:rsidRDefault="0026209F" w:rsidP="0026209F">
      <w:pPr>
        <w:pStyle w:val="Call"/>
        <w:rPr>
          <w:lang w:val="en-GB"/>
        </w:rPr>
      </w:pPr>
      <w:r w:rsidRPr="0026209F">
        <w:rPr>
          <w:lang w:val="en-GB"/>
        </w:rPr>
        <w:t>considering</w:t>
      </w:r>
    </w:p>
    <w:p w14:paraId="1D166D4D" w14:textId="77777777" w:rsidR="0026209F" w:rsidRPr="0026209F" w:rsidRDefault="0026209F" w:rsidP="0026209F">
      <w:pPr>
        <w:rPr>
          <w:lang w:val="en-GB"/>
        </w:rPr>
      </w:pPr>
      <w:r w:rsidRPr="0026209F">
        <w:rPr>
          <w:i/>
          <w:iCs/>
          <w:lang w:val="en-GB"/>
        </w:rPr>
        <w:t>a)</w:t>
      </w:r>
      <w:r w:rsidRPr="0026209F">
        <w:rPr>
          <w:lang w:val="en-GB"/>
        </w:rPr>
        <w:tab/>
        <w:t>that there is a need to describe the characteristics of equipment for on-board vessel communications in the bands between 450 and 470 MHz;</w:t>
      </w:r>
    </w:p>
    <w:p w14:paraId="006BDF5E" w14:textId="77777777" w:rsidR="0026209F" w:rsidRPr="0026209F" w:rsidRDefault="0026209F" w:rsidP="0026209F">
      <w:pPr>
        <w:rPr>
          <w:lang w:val="en-GB"/>
        </w:rPr>
      </w:pPr>
      <w:r w:rsidRPr="0026209F">
        <w:rPr>
          <w:i/>
          <w:iCs/>
          <w:lang w:val="en-GB"/>
        </w:rPr>
        <w:t>b)</w:t>
      </w:r>
      <w:r w:rsidRPr="0026209F">
        <w:rPr>
          <w:lang w:val="en-GB"/>
        </w:rPr>
        <w:tab/>
        <w:t>that changes have recently been made to the frequency availability,</w:t>
      </w:r>
    </w:p>
    <w:p w14:paraId="4564DC0F" w14:textId="77777777" w:rsidR="0026209F" w:rsidRPr="0026209F" w:rsidRDefault="0026209F" w:rsidP="0026209F">
      <w:pPr>
        <w:pStyle w:val="Call"/>
        <w:rPr>
          <w:lang w:val="en-GB"/>
        </w:rPr>
      </w:pPr>
      <w:r w:rsidRPr="0026209F">
        <w:rPr>
          <w:lang w:val="en-GB"/>
        </w:rPr>
        <w:t>recommends</w:t>
      </w:r>
    </w:p>
    <w:p w14:paraId="495B0D28" w14:textId="77777777" w:rsidR="0026209F" w:rsidRPr="0026209F" w:rsidRDefault="0026209F" w:rsidP="0026209F">
      <w:pPr>
        <w:rPr>
          <w:lang w:val="en-GB"/>
        </w:rPr>
      </w:pPr>
      <w:r w:rsidRPr="0026209F">
        <w:rPr>
          <w:b/>
          <w:lang w:val="en-GB"/>
        </w:rPr>
        <w:t>1</w:t>
      </w:r>
      <w:r w:rsidRPr="0026209F">
        <w:rPr>
          <w:lang w:val="en-GB"/>
        </w:rPr>
        <w:tab/>
        <w:t>that transmitters and receivers used in the maritime mobile service for on-board vessel communications in the bands between 450 and 470 MHz should conform to the technical characteristics shown in Annex 1;</w:t>
      </w:r>
    </w:p>
    <w:p w14:paraId="45149771" w14:textId="77777777" w:rsidR="0026209F" w:rsidRPr="0026209F" w:rsidRDefault="0026209F" w:rsidP="0026209F">
      <w:pPr>
        <w:rPr>
          <w:lang w:val="en-GB"/>
        </w:rPr>
      </w:pPr>
      <w:r w:rsidRPr="0026209F">
        <w:rPr>
          <w:b/>
          <w:bCs/>
          <w:lang w:val="en-GB"/>
        </w:rPr>
        <w:t>2</w:t>
      </w:r>
      <w:r w:rsidRPr="0026209F">
        <w:rPr>
          <w:lang w:val="en-GB"/>
        </w:rPr>
        <w:tab/>
        <w:t>that for analogue technology the use of continuous tone coded squelch systems or digital coded squelch (DCS) constitute an effective means of mitigating the impression of congestion to the user;</w:t>
      </w:r>
    </w:p>
    <w:p w14:paraId="420290B5" w14:textId="77777777" w:rsidR="0026209F" w:rsidRPr="0026209F" w:rsidRDefault="0026209F" w:rsidP="0026209F">
      <w:pPr>
        <w:rPr>
          <w:lang w:val="en-GB"/>
        </w:rPr>
      </w:pPr>
      <w:r w:rsidRPr="0026209F">
        <w:rPr>
          <w:b/>
          <w:bCs/>
          <w:lang w:val="en-GB"/>
        </w:rPr>
        <w:t>3</w:t>
      </w:r>
      <w:r w:rsidRPr="0026209F">
        <w:rPr>
          <w:lang w:val="en-GB"/>
        </w:rPr>
        <w:tab/>
        <w:t xml:space="preserve">that for digital technology the use of DCS or a </w:t>
      </w:r>
      <w:r w:rsidRPr="0026209F">
        <w:rPr>
          <w:lang w:val="en-GB" w:eastAsia="ja-JP"/>
        </w:rPr>
        <w:t xml:space="preserve">similar </w:t>
      </w:r>
      <w:r w:rsidRPr="0026209F">
        <w:rPr>
          <w:lang w:val="en-GB"/>
        </w:rPr>
        <w:t>operational system should be used as a way to mitigate the impression of congestion to user;</w:t>
      </w:r>
    </w:p>
    <w:p w14:paraId="7776549B" w14:textId="77777777" w:rsidR="0026209F" w:rsidRPr="0026209F" w:rsidRDefault="0026209F" w:rsidP="0026209F">
      <w:pPr>
        <w:rPr>
          <w:lang w:val="en-GB"/>
        </w:rPr>
      </w:pPr>
      <w:r w:rsidRPr="0026209F">
        <w:rPr>
          <w:b/>
          <w:bCs/>
          <w:lang w:val="en-GB"/>
        </w:rPr>
        <w:t>4</w:t>
      </w:r>
      <w:r w:rsidRPr="0026209F">
        <w:rPr>
          <w:lang w:val="en-GB"/>
        </w:rPr>
        <w:tab/>
        <w:t xml:space="preserve">that during operation, to detect whether there is an available channel for operation, it is advised that a method of listen before talk be employed as a possible mitigation technique; </w:t>
      </w:r>
    </w:p>
    <w:p w14:paraId="1198AAE2" w14:textId="77777777" w:rsidR="0026209F" w:rsidRPr="0026209F" w:rsidRDefault="0026209F" w:rsidP="0026209F">
      <w:pPr>
        <w:rPr>
          <w:szCs w:val="24"/>
          <w:lang w:val="en-GB"/>
        </w:rPr>
      </w:pPr>
      <w:r w:rsidRPr="0026209F">
        <w:rPr>
          <w:b/>
          <w:bCs/>
          <w:lang w:val="en-GB"/>
        </w:rPr>
        <w:t>5</w:t>
      </w:r>
      <w:r w:rsidRPr="0026209F">
        <w:rPr>
          <w:lang w:val="en-GB"/>
        </w:rPr>
        <w:tab/>
        <w:t xml:space="preserve">that ship owners when </w:t>
      </w:r>
      <w:r w:rsidRPr="0026209F">
        <w:rPr>
          <w:szCs w:val="24"/>
          <w:lang w:val="en-GB"/>
        </w:rPr>
        <w:t>replacing or installing communications equipment upon vessels are encouraged to fit equipment using 12.5 kHz or 6.25 kHz channel spacing.</w:t>
      </w:r>
    </w:p>
    <w:p w14:paraId="28E05B39" w14:textId="77777777" w:rsidR="0026209F" w:rsidRPr="0026209F" w:rsidRDefault="0026209F" w:rsidP="0026209F">
      <w:pPr>
        <w:rPr>
          <w:lang w:val="en-GB"/>
        </w:rPr>
      </w:pPr>
    </w:p>
    <w:p w14:paraId="4218593F" w14:textId="77777777" w:rsidR="0026209F" w:rsidRPr="0026209F" w:rsidRDefault="0026209F" w:rsidP="0026209F">
      <w:pPr>
        <w:rPr>
          <w:lang w:val="en-GB"/>
        </w:rPr>
      </w:pPr>
    </w:p>
    <w:p w14:paraId="3B24A0ED" w14:textId="77777777" w:rsidR="0026209F" w:rsidRPr="002B5EEA" w:rsidRDefault="0026209F" w:rsidP="0026209F">
      <w:pPr>
        <w:pStyle w:val="AnnexNoTitle"/>
        <w:rPr>
          <w:lang w:val="en-GB"/>
        </w:rPr>
      </w:pPr>
      <w:r w:rsidRPr="002B5EEA">
        <w:rPr>
          <w:lang w:val="en-GB"/>
        </w:rPr>
        <w:lastRenderedPageBreak/>
        <w:t>Annex 1</w:t>
      </w:r>
      <w:r w:rsidRPr="002B5EEA">
        <w:rPr>
          <w:lang w:val="en-GB"/>
        </w:rPr>
        <w:br/>
      </w:r>
      <w:r w:rsidRPr="002B5EEA">
        <w:rPr>
          <w:lang w:val="en-GB"/>
        </w:rPr>
        <w:br/>
        <w:t>Technical characteristics of equipment used for on-board vessel communications in the bands between 450 and 470 MHz</w:t>
      </w:r>
    </w:p>
    <w:p w14:paraId="073E722D" w14:textId="77777777" w:rsidR="0026209F" w:rsidRPr="0026209F" w:rsidRDefault="0026209F" w:rsidP="0026209F">
      <w:pPr>
        <w:rPr>
          <w:lang w:val="en-GB"/>
        </w:rPr>
      </w:pPr>
      <w:r w:rsidRPr="0026209F">
        <w:rPr>
          <w:lang w:val="en-GB"/>
        </w:rPr>
        <w:t>1</w:t>
      </w:r>
      <w:r w:rsidRPr="0026209F">
        <w:rPr>
          <w:lang w:val="en-GB"/>
        </w:rPr>
        <w:tab/>
        <w:t>The equipment should be fitted with sufficient channels for satisfactory operation in the area of intended use.</w:t>
      </w:r>
    </w:p>
    <w:p w14:paraId="01AEE62B" w14:textId="77777777" w:rsidR="0026209F" w:rsidRPr="0026209F" w:rsidRDefault="0026209F" w:rsidP="0026209F">
      <w:pPr>
        <w:rPr>
          <w:lang w:val="en-GB"/>
        </w:rPr>
      </w:pPr>
      <w:r w:rsidRPr="0026209F">
        <w:rPr>
          <w:lang w:val="en-GB"/>
        </w:rPr>
        <w:t>2</w:t>
      </w:r>
      <w:r w:rsidRPr="0026209F">
        <w:rPr>
          <w:lang w:val="en-GB"/>
        </w:rPr>
        <w:tab/>
        <w:t>The effective radiated power should be limited to the maximum required for satisfactory operations, but should in no case exceed 2 W. Wherever practicable the equipment should be fitted with a suitable device to reduce readily the output power by at least 10 dB.</w:t>
      </w:r>
    </w:p>
    <w:p w14:paraId="2DC0AD7B" w14:textId="77777777" w:rsidR="0026209F" w:rsidRPr="0026209F" w:rsidRDefault="0026209F" w:rsidP="0026209F">
      <w:pPr>
        <w:rPr>
          <w:lang w:val="en-GB"/>
        </w:rPr>
      </w:pPr>
      <w:r w:rsidRPr="0026209F">
        <w:rPr>
          <w:lang w:val="en-GB"/>
        </w:rPr>
        <w:t>3</w:t>
      </w:r>
      <w:r w:rsidRPr="0026209F">
        <w:rPr>
          <w:lang w:val="en-GB"/>
        </w:rPr>
        <w:tab/>
        <w:t>In the case of equipment installed at a fixed point on the ship, the height of its antenna should not be more than 3.5 m above the uppermost level of the deck.</w:t>
      </w:r>
    </w:p>
    <w:p w14:paraId="53CC0174" w14:textId="77777777" w:rsidR="0026209F" w:rsidRPr="0026209F" w:rsidRDefault="0026209F" w:rsidP="0026209F">
      <w:pPr>
        <w:rPr>
          <w:lang w:val="en-GB"/>
        </w:rPr>
      </w:pPr>
    </w:p>
    <w:p w14:paraId="5460B1B4" w14:textId="77777777" w:rsidR="0026209F" w:rsidRPr="0026209F" w:rsidRDefault="0026209F" w:rsidP="0026209F">
      <w:pPr>
        <w:spacing w:before="0"/>
        <w:rPr>
          <w:sz w:val="2"/>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675"/>
        <w:gridCol w:w="4482"/>
        <w:gridCol w:w="4482"/>
      </w:tblGrid>
      <w:tr w:rsidR="0026209F" w:rsidRPr="002B5EEA" w14:paraId="10F3D063" w14:textId="77777777" w:rsidTr="004F6399">
        <w:trPr>
          <w:jc w:val="center"/>
        </w:trPr>
        <w:tc>
          <w:tcPr>
            <w:tcW w:w="680" w:type="dxa"/>
          </w:tcPr>
          <w:p w14:paraId="1C8E3C2E" w14:textId="77777777" w:rsidR="0026209F" w:rsidRPr="0026209F" w:rsidRDefault="0026209F" w:rsidP="004F6399">
            <w:pPr>
              <w:spacing w:before="0" w:after="200"/>
              <w:rPr>
                <w:szCs w:val="24"/>
                <w:lang w:val="en-GB"/>
              </w:rPr>
            </w:pPr>
          </w:p>
        </w:tc>
        <w:tc>
          <w:tcPr>
            <w:tcW w:w="4536" w:type="dxa"/>
          </w:tcPr>
          <w:p w14:paraId="17A778DF" w14:textId="77777777" w:rsidR="0026209F" w:rsidRPr="002B5EEA" w:rsidRDefault="0026209F" w:rsidP="004F6399">
            <w:pPr>
              <w:pStyle w:val="Tablehead"/>
            </w:pPr>
            <w:r w:rsidRPr="002B5EEA">
              <w:t>25 kHz channels</w:t>
            </w:r>
            <w:r w:rsidRPr="002B5EEA">
              <w:br/>
              <w:t>analogue technology</w:t>
            </w:r>
          </w:p>
        </w:tc>
        <w:tc>
          <w:tcPr>
            <w:tcW w:w="4536" w:type="dxa"/>
          </w:tcPr>
          <w:p w14:paraId="0ED4B36B" w14:textId="77777777" w:rsidR="0026209F" w:rsidRPr="002B5EEA" w:rsidRDefault="0026209F" w:rsidP="004F6399">
            <w:pPr>
              <w:pStyle w:val="Tablehead"/>
              <w:rPr>
                <w:u w:val="double"/>
              </w:rPr>
            </w:pPr>
            <w:r w:rsidRPr="002B5EEA">
              <w:t>12.5 kHz channels</w:t>
            </w:r>
            <w:r w:rsidRPr="002B5EEA">
              <w:br/>
              <w:t>analogue technology</w:t>
            </w:r>
          </w:p>
        </w:tc>
      </w:tr>
      <w:tr w:rsidR="0026209F" w:rsidRPr="0026209F" w14:paraId="7BE4DB6E" w14:textId="77777777" w:rsidTr="004F6399">
        <w:trPr>
          <w:jc w:val="center"/>
        </w:trPr>
        <w:tc>
          <w:tcPr>
            <w:tcW w:w="680" w:type="dxa"/>
          </w:tcPr>
          <w:p w14:paraId="748E2880" w14:textId="77777777" w:rsidR="0026209F" w:rsidRPr="002B5EEA" w:rsidRDefault="0026209F" w:rsidP="004F6399">
            <w:pPr>
              <w:pStyle w:val="Tabletext"/>
              <w:jc w:val="center"/>
              <w:rPr>
                <w:bCs/>
              </w:rPr>
            </w:pPr>
            <w:r w:rsidRPr="002B5EEA">
              <w:rPr>
                <w:bCs/>
              </w:rPr>
              <w:t>4</w:t>
            </w:r>
          </w:p>
        </w:tc>
        <w:tc>
          <w:tcPr>
            <w:tcW w:w="4536" w:type="dxa"/>
          </w:tcPr>
          <w:p w14:paraId="0CB49BBB" w14:textId="77777777" w:rsidR="0026209F" w:rsidRPr="0026209F" w:rsidRDefault="0026209F" w:rsidP="001415B3">
            <w:pPr>
              <w:pStyle w:val="Tabletext"/>
              <w:jc w:val="left"/>
              <w:rPr>
                <w:lang w:val="en-GB"/>
              </w:rPr>
            </w:pPr>
            <w:r w:rsidRPr="0026209F">
              <w:rPr>
                <w:lang w:val="en-GB"/>
              </w:rPr>
              <w:t>Only frequency modulation with a pre</w:t>
            </w:r>
            <w:r w:rsidRPr="0026209F">
              <w:rPr>
                <w:lang w:val="en-GB"/>
              </w:rPr>
              <w:noBreakHyphen/>
              <w:t>emphasis of 6 dB/octave (phase modulation) should be used.</w:t>
            </w:r>
          </w:p>
        </w:tc>
        <w:tc>
          <w:tcPr>
            <w:tcW w:w="4536" w:type="dxa"/>
          </w:tcPr>
          <w:p w14:paraId="07C717B3" w14:textId="77777777" w:rsidR="0026209F" w:rsidRPr="0026209F" w:rsidRDefault="0026209F" w:rsidP="001415B3">
            <w:pPr>
              <w:pStyle w:val="Tabletext"/>
              <w:jc w:val="left"/>
              <w:rPr>
                <w:u w:val="double"/>
                <w:lang w:val="en-GB"/>
              </w:rPr>
            </w:pPr>
            <w:r w:rsidRPr="0026209F">
              <w:rPr>
                <w:lang w:val="en-GB"/>
              </w:rPr>
              <w:t>Only frequency modulation with a pre</w:t>
            </w:r>
            <w:r w:rsidRPr="0026209F">
              <w:rPr>
                <w:lang w:val="en-GB"/>
              </w:rPr>
              <w:noBreakHyphen/>
              <w:t>emphasis of 6 dB/octave (phase modulation) should be used.</w:t>
            </w:r>
          </w:p>
        </w:tc>
      </w:tr>
      <w:tr w:rsidR="0026209F" w:rsidRPr="002B5EEA" w14:paraId="3AED9504" w14:textId="77777777" w:rsidTr="004F6399">
        <w:trPr>
          <w:jc w:val="center"/>
        </w:trPr>
        <w:tc>
          <w:tcPr>
            <w:tcW w:w="680" w:type="dxa"/>
          </w:tcPr>
          <w:p w14:paraId="15C30E03" w14:textId="77777777" w:rsidR="0026209F" w:rsidRPr="002B5EEA" w:rsidRDefault="0026209F" w:rsidP="004F6399">
            <w:pPr>
              <w:pStyle w:val="Tabletext"/>
              <w:jc w:val="center"/>
              <w:rPr>
                <w:bCs/>
              </w:rPr>
            </w:pPr>
            <w:r w:rsidRPr="002B5EEA">
              <w:rPr>
                <w:bCs/>
              </w:rPr>
              <w:t>5</w:t>
            </w:r>
          </w:p>
        </w:tc>
        <w:tc>
          <w:tcPr>
            <w:tcW w:w="4536" w:type="dxa"/>
          </w:tcPr>
          <w:p w14:paraId="76FD5716" w14:textId="77777777" w:rsidR="0026209F" w:rsidRPr="002B5EEA" w:rsidRDefault="0026209F" w:rsidP="001415B3">
            <w:pPr>
              <w:pStyle w:val="Tabletext"/>
              <w:jc w:val="left"/>
            </w:pPr>
            <w:r w:rsidRPr="0026209F">
              <w:rPr>
                <w:lang w:val="en-GB"/>
              </w:rPr>
              <w:t xml:space="preserve">The frequency deviation corresponding to 100% modulation should approach </w:t>
            </w:r>
            <w:r w:rsidRPr="002B5EEA">
              <w:rPr>
                <w:rFonts w:ascii="Symbol" w:hAnsi="Symbol"/>
              </w:rPr>
              <w:t></w:t>
            </w:r>
            <w:r w:rsidRPr="0026209F">
              <w:rPr>
                <w:lang w:val="en-GB"/>
              </w:rPr>
              <w:t xml:space="preserve">5 kHz as nearly as practicable. </w:t>
            </w:r>
            <w:r w:rsidRPr="002B5EEA">
              <w:t xml:space="preserve">In no event should the frequency deviation exceed </w:t>
            </w:r>
            <w:r w:rsidRPr="002B5EEA">
              <w:rPr>
                <w:rFonts w:ascii="Symbol" w:hAnsi="Symbol"/>
              </w:rPr>
              <w:t></w:t>
            </w:r>
            <w:r w:rsidRPr="002B5EEA">
              <w:t>5 kHz.</w:t>
            </w:r>
          </w:p>
        </w:tc>
        <w:tc>
          <w:tcPr>
            <w:tcW w:w="4536" w:type="dxa"/>
          </w:tcPr>
          <w:p w14:paraId="7002EA90" w14:textId="77777777" w:rsidR="0026209F" w:rsidRPr="002B5EEA" w:rsidRDefault="0026209F" w:rsidP="001415B3">
            <w:pPr>
              <w:pStyle w:val="Tabletext"/>
              <w:jc w:val="left"/>
              <w:rPr>
                <w:u w:val="double"/>
              </w:rPr>
            </w:pPr>
            <w:r w:rsidRPr="0026209F">
              <w:rPr>
                <w:lang w:val="en-GB"/>
              </w:rPr>
              <w:t xml:space="preserve">The frequency deviation corresponding to 100% modulation should approach </w:t>
            </w:r>
            <w:r w:rsidRPr="002B5EEA">
              <w:rPr>
                <w:rFonts w:ascii="Symbol" w:hAnsi="Symbol"/>
              </w:rPr>
              <w:t></w:t>
            </w:r>
            <w:r w:rsidRPr="0026209F">
              <w:rPr>
                <w:lang w:val="en-GB"/>
              </w:rPr>
              <w:t xml:space="preserve">2.5 kHz as nearly as practicable. </w:t>
            </w:r>
            <w:r w:rsidRPr="002B5EEA">
              <w:t xml:space="preserve">In no event should the frequency deviation exceed </w:t>
            </w:r>
            <w:r w:rsidRPr="002B5EEA">
              <w:rPr>
                <w:rFonts w:ascii="Symbol" w:hAnsi="Symbol"/>
              </w:rPr>
              <w:t></w:t>
            </w:r>
            <w:r w:rsidRPr="002B5EEA">
              <w:t>2.5 kHz.</w:t>
            </w:r>
          </w:p>
        </w:tc>
      </w:tr>
      <w:tr w:rsidR="0026209F" w:rsidRPr="0026209F" w14:paraId="4516C949" w14:textId="77777777" w:rsidTr="004F6399">
        <w:trPr>
          <w:jc w:val="center"/>
        </w:trPr>
        <w:tc>
          <w:tcPr>
            <w:tcW w:w="680" w:type="dxa"/>
          </w:tcPr>
          <w:p w14:paraId="477A9A49" w14:textId="77777777" w:rsidR="0026209F" w:rsidRPr="002B5EEA" w:rsidRDefault="0026209F" w:rsidP="004F6399">
            <w:pPr>
              <w:pStyle w:val="Tabletext"/>
              <w:jc w:val="center"/>
              <w:rPr>
                <w:bCs/>
              </w:rPr>
            </w:pPr>
            <w:r w:rsidRPr="002B5EEA">
              <w:rPr>
                <w:bCs/>
              </w:rPr>
              <w:t>6</w:t>
            </w:r>
          </w:p>
        </w:tc>
        <w:tc>
          <w:tcPr>
            <w:tcW w:w="4536" w:type="dxa"/>
          </w:tcPr>
          <w:p w14:paraId="457DC892" w14:textId="77777777" w:rsidR="0026209F" w:rsidRPr="0026209F" w:rsidRDefault="0026209F" w:rsidP="001415B3">
            <w:pPr>
              <w:pStyle w:val="Tabletext"/>
              <w:jc w:val="left"/>
              <w:rPr>
                <w:lang w:val="en-GB"/>
              </w:rPr>
            </w:pPr>
            <w:r w:rsidRPr="0026209F">
              <w:rPr>
                <w:lang w:val="en-GB"/>
              </w:rPr>
              <w:t>The frequency tolerance should be 5 parts in 10</w:t>
            </w:r>
            <w:r w:rsidRPr="0026209F">
              <w:rPr>
                <w:vertAlign w:val="superscript"/>
                <w:lang w:val="en-GB"/>
              </w:rPr>
              <w:t>6</w:t>
            </w:r>
            <w:r w:rsidRPr="0026209F">
              <w:rPr>
                <w:lang w:val="en-GB"/>
              </w:rPr>
              <w:t>.</w:t>
            </w:r>
          </w:p>
        </w:tc>
        <w:tc>
          <w:tcPr>
            <w:tcW w:w="4536" w:type="dxa"/>
          </w:tcPr>
          <w:p w14:paraId="05847204" w14:textId="77777777" w:rsidR="0026209F" w:rsidRPr="0026209F" w:rsidRDefault="0026209F" w:rsidP="001415B3">
            <w:pPr>
              <w:pStyle w:val="Tabletext"/>
              <w:jc w:val="left"/>
              <w:rPr>
                <w:u w:val="double"/>
                <w:lang w:val="en-GB"/>
              </w:rPr>
            </w:pPr>
            <w:r w:rsidRPr="0026209F">
              <w:rPr>
                <w:lang w:val="en-GB"/>
              </w:rPr>
              <w:t>The frequency tolerance should be 2.5 parts in 10</w:t>
            </w:r>
            <w:r w:rsidRPr="0026209F">
              <w:rPr>
                <w:vertAlign w:val="superscript"/>
                <w:lang w:val="en-GB"/>
              </w:rPr>
              <w:t>6</w:t>
            </w:r>
            <w:r w:rsidRPr="0026209F">
              <w:rPr>
                <w:lang w:val="en-GB"/>
              </w:rPr>
              <w:t>.</w:t>
            </w:r>
          </w:p>
        </w:tc>
      </w:tr>
      <w:tr w:rsidR="0026209F" w:rsidRPr="0026209F" w14:paraId="28278669" w14:textId="77777777" w:rsidTr="004F6399">
        <w:trPr>
          <w:jc w:val="center"/>
        </w:trPr>
        <w:tc>
          <w:tcPr>
            <w:tcW w:w="680" w:type="dxa"/>
          </w:tcPr>
          <w:p w14:paraId="1634DA73" w14:textId="77777777" w:rsidR="0026209F" w:rsidRPr="002B5EEA" w:rsidRDefault="0026209F" w:rsidP="004F6399">
            <w:pPr>
              <w:pStyle w:val="Tabletext"/>
              <w:jc w:val="center"/>
              <w:rPr>
                <w:bCs/>
              </w:rPr>
            </w:pPr>
            <w:r w:rsidRPr="002B5EEA">
              <w:rPr>
                <w:bCs/>
              </w:rPr>
              <w:t>7</w:t>
            </w:r>
          </w:p>
        </w:tc>
        <w:tc>
          <w:tcPr>
            <w:tcW w:w="4536" w:type="dxa"/>
          </w:tcPr>
          <w:p w14:paraId="04AD3AF5" w14:textId="77777777" w:rsidR="0026209F" w:rsidRPr="0026209F" w:rsidRDefault="0026209F" w:rsidP="001415B3">
            <w:pPr>
              <w:pStyle w:val="Tabletext"/>
              <w:jc w:val="left"/>
              <w:rPr>
                <w:lang w:val="en-GB"/>
              </w:rPr>
            </w:pPr>
            <w:r w:rsidRPr="0026209F">
              <w:rPr>
                <w:lang w:val="en-GB"/>
              </w:rPr>
              <w:t>The audio-frequency band should be limited to 3</w:t>
            </w:r>
            <w:r w:rsidRPr="0026209F">
              <w:rPr>
                <w:rFonts w:ascii="Tms Rmn" w:hAnsi="Tms Rmn"/>
                <w:lang w:val="en-GB"/>
              </w:rPr>
              <w:t> </w:t>
            </w:r>
            <w:r w:rsidRPr="0026209F">
              <w:rPr>
                <w:lang w:val="en-GB"/>
              </w:rPr>
              <w:t>000 Hz.</w:t>
            </w:r>
          </w:p>
        </w:tc>
        <w:tc>
          <w:tcPr>
            <w:tcW w:w="4536" w:type="dxa"/>
          </w:tcPr>
          <w:p w14:paraId="04BB7FEE" w14:textId="77777777" w:rsidR="0026209F" w:rsidRPr="0026209F" w:rsidRDefault="0026209F" w:rsidP="001415B3">
            <w:pPr>
              <w:pStyle w:val="Tabletext"/>
              <w:jc w:val="left"/>
              <w:rPr>
                <w:u w:val="double"/>
                <w:lang w:val="en-GB"/>
              </w:rPr>
            </w:pPr>
            <w:r w:rsidRPr="0026209F">
              <w:rPr>
                <w:lang w:val="en-GB"/>
              </w:rPr>
              <w:t>The audio-frequency band should be limited to 2</w:t>
            </w:r>
            <w:r w:rsidRPr="0026209F">
              <w:rPr>
                <w:rFonts w:ascii="Tms Rmn" w:hAnsi="Tms Rmn"/>
                <w:lang w:val="en-GB"/>
              </w:rPr>
              <w:t> </w:t>
            </w:r>
            <w:r w:rsidRPr="0026209F">
              <w:rPr>
                <w:lang w:val="en-GB"/>
              </w:rPr>
              <w:t>550 Hz.</w:t>
            </w:r>
          </w:p>
        </w:tc>
      </w:tr>
    </w:tbl>
    <w:p w14:paraId="0F5C1F6C" w14:textId="77777777" w:rsidR="0026209F" w:rsidRPr="002B5EEA" w:rsidRDefault="0026209F" w:rsidP="0026209F">
      <w:pPr>
        <w:pStyle w:val="Tablefin"/>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2"/>
        <w:gridCol w:w="4624"/>
        <w:gridCol w:w="4423"/>
      </w:tblGrid>
      <w:tr w:rsidR="0026209F" w:rsidRPr="002B5EEA" w14:paraId="44E7A75D" w14:textId="77777777" w:rsidTr="004F6399">
        <w:trPr>
          <w:jc w:val="center"/>
        </w:trPr>
        <w:tc>
          <w:tcPr>
            <w:tcW w:w="592" w:type="dxa"/>
          </w:tcPr>
          <w:p w14:paraId="5C2E2B54" w14:textId="77777777" w:rsidR="0026209F" w:rsidRPr="0026209F" w:rsidRDefault="0026209F" w:rsidP="004F6399">
            <w:pPr>
              <w:spacing w:before="80" w:after="80"/>
              <w:ind w:left="113"/>
              <w:jc w:val="center"/>
              <w:rPr>
                <w:b/>
                <w:sz w:val="20"/>
                <w:lang w:val="en-GB"/>
              </w:rPr>
            </w:pPr>
          </w:p>
        </w:tc>
        <w:tc>
          <w:tcPr>
            <w:tcW w:w="4624" w:type="dxa"/>
          </w:tcPr>
          <w:p w14:paraId="72411F16" w14:textId="77777777" w:rsidR="0026209F" w:rsidRPr="002B5EEA" w:rsidRDefault="0026209F" w:rsidP="004F6399">
            <w:pPr>
              <w:pStyle w:val="Tablehead"/>
            </w:pPr>
            <w:r w:rsidRPr="002B5EEA">
              <w:t xml:space="preserve">12.5 kHz channels </w:t>
            </w:r>
            <w:r w:rsidRPr="002B5EEA">
              <w:br/>
              <w:t>digital technology</w:t>
            </w:r>
          </w:p>
        </w:tc>
        <w:tc>
          <w:tcPr>
            <w:tcW w:w="4423" w:type="dxa"/>
          </w:tcPr>
          <w:p w14:paraId="47528C92" w14:textId="77777777" w:rsidR="0026209F" w:rsidRPr="002B5EEA" w:rsidRDefault="0026209F" w:rsidP="004F6399">
            <w:pPr>
              <w:pStyle w:val="Tablehead"/>
            </w:pPr>
            <w:r w:rsidRPr="002B5EEA">
              <w:t xml:space="preserve">6.25 kHz channels </w:t>
            </w:r>
            <w:r w:rsidRPr="002B5EEA">
              <w:br/>
              <w:t>digital technology</w:t>
            </w:r>
          </w:p>
        </w:tc>
      </w:tr>
      <w:tr w:rsidR="0026209F" w:rsidRPr="0026209F" w14:paraId="25F41892" w14:textId="77777777" w:rsidTr="004F6399">
        <w:trPr>
          <w:jc w:val="center"/>
        </w:trPr>
        <w:tc>
          <w:tcPr>
            <w:tcW w:w="592" w:type="dxa"/>
          </w:tcPr>
          <w:p w14:paraId="060C6AF6" w14:textId="77777777" w:rsidR="0026209F" w:rsidRPr="002B5EEA" w:rsidRDefault="0026209F" w:rsidP="004F6399">
            <w:pPr>
              <w:pStyle w:val="Tabletext"/>
              <w:jc w:val="center"/>
              <w:rPr>
                <w:bCs/>
              </w:rPr>
            </w:pPr>
            <w:r w:rsidRPr="002B5EEA">
              <w:rPr>
                <w:bCs/>
              </w:rPr>
              <w:t>8</w:t>
            </w:r>
          </w:p>
        </w:tc>
        <w:tc>
          <w:tcPr>
            <w:tcW w:w="4624" w:type="dxa"/>
          </w:tcPr>
          <w:p w14:paraId="2570207B" w14:textId="77777777" w:rsidR="0026209F" w:rsidRPr="0026209F" w:rsidRDefault="0026209F" w:rsidP="001415B3">
            <w:pPr>
              <w:pStyle w:val="Tabletext"/>
              <w:jc w:val="left"/>
              <w:rPr>
                <w:lang w:val="en-GB"/>
              </w:rPr>
            </w:pPr>
            <w:r w:rsidRPr="0026209F">
              <w:rPr>
                <w:lang w:val="en-GB"/>
              </w:rPr>
              <w:t>Only constant-envelope modulation, entitled 4FSK (Four-level frequency-shift keying modulation) should be used.</w:t>
            </w:r>
          </w:p>
        </w:tc>
        <w:tc>
          <w:tcPr>
            <w:tcW w:w="4423" w:type="dxa"/>
          </w:tcPr>
          <w:p w14:paraId="599AE29A" w14:textId="77777777" w:rsidR="0026209F" w:rsidRPr="0026209F" w:rsidRDefault="0026209F" w:rsidP="001415B3">
            <w:pPr>
              <w:pStyle w:val="Tabletext"/>
              <w:jc w:val="left"/>
              <w:rPr>
                <w:lang w:val="en-GB"/>
              </w:rPr>
            </w:pPr>
            <w:r w:rsidRPr="0026209F">
              <w:rPr>
                <w:lang w:val="en-GB"/>
              </w:rPr>
              <w:t>Only constant-envelope modulation, entitled 4FSK (Four-level frequency-shift keying modulation) should be used.</w:t>
            </w:r>
          </w:p>
        </w:tc>
      </w:tr>
      <w:tr w:rsidR="0026209F" w:rsidRPr="0026209F" w14:paraId="4E0CFB73" w14:textId="77777777" w:rsidTr="004F6399">
        <w:trPr>
          <w:jc w:val="center"/>
        </w:trPr>
        <w:tc>
          <w:tcPr>
            <w:tcW w:w="592" w:type="dxa"/>
          </w:tcPr>
          <w:p w14:paraId="205F5EBA" w14:textId="77777777" w:rsidR="0026209F" w:rsidRPr="002B5EEA" w:rsidRDefault="0026209F" w:rsidP="004F6399">
            <w:pPr>
              <w:pStyle w:val="Tabletext"/>
              <w:jc w:val="center"/>
              <w:rPr>
                <w:bCs/>
              </w:rPr>
            </w:pPr>
            <w:r w:rsidRPr="002B5EEA">
              <w:rPr>
                <w:bCs/>
              </w:rPr>
              <w:t>9</w:t>
            </w:r>
          </w:p>
        </w:tc>
        <w:tc>
          <w:tcPr>
            <w:tcW w:w="4624" w:type="dxa"/>
          </w:tcPr>
          <w:p w14:paraId="05C1B634" w14:textId="77777777" w:rsidR="0026209F" w:rsidRPr="0026209F" w:rsidRDefault="0026209F" w:rsidP="001415B3">
            <w:pPr>
              <w:pStyle w:val="Tabletext"/>
              <w:jc w:val="left"/>
              <w:rPr>
                <w:lang w:val="en-GB"/>
              </w:rPr>
            </w:pPr>
            <w:r w:rsidRPr="0026209F">
              <w:rPr>
                <w:lang w:val="en-GB"/>
              </w:rPr>
              <w:t>The frequency deviation is limited to ±3 024 Hz.</w:t>
            </w:r>
          </w:p>
        </w:tc>
        <w:tc>
          <w:tcPr>
            <w:tcW w:w="4423" w:type="dxa"/>
          </w:tcPr>
          <w:p w14:paraId="737797F1" w14:textId="77777777" w:rsidR="0026209F" w:rsidRPr="0026209F" w:rsidRDefault="0026209F" w:rsidP="001415B3">
            <w:pPr>
              <w:pStyle w:val="Tabletext"/>
              <w:jc w:val="left"/>
              <w:rPr>
                <w:lang w:val="en-GB"/>
              </w:rPr>
            </w:pPr>
            <w:r w:rsidRPr="0026209F">
              <w:rPr>
                <w:lang w:val="en-GB"/>
              </w:rPr>
              <w:t>The frequency deviation is limited to ±1 471 Hz.</w:t>
            </w:r>
          </w:p>
        </w:tc>
      </w:tr>
      <w:tr w:rsidR="0026209F" w:rsidRPr="0026209F" w14:paraId="74CA6B8F" w14:textId="77777777" w:rsidTr="004F6399">
        <w:trPr>
          <w:jc w:val="center"/>
        </w:trPr>
        <w:tc>
          <w:tcPr>
            <w:tcW w:w="592" w:type="dxa"/>
          </w:tcPr>
          <w:p w14:paraId="63175134" w14:textId="77777777" w:rsidR="0026209F" w:rsidRPr="002B5EEA" w:rsidRDefault="0026209F" w:rsidP="004F6399">
            <w:pPr>
              <w:pStyle w:val="Tabletext"/>
              <w:jc w:val="center"/>
              <w:rPr>
                <w:bCs/>
              </w:rPr>
            </w:pPr>
            <w:r w:rsidRPr="002B5EEA">
              <w:rPr>
                <w:bCs/>
              </w:rPr>
              <w:t>10</w:t>
            </w:r>
          </w:p>
        </w:tc>
        <w:tc>
          <w:tcPr>
            <w:tcW w:w="4624" w:type="dxa"/>
          </w:tcPr>
          <w:p w14:paraId="10931D59" w14:textId="77777777" w:rsidR="0026209F" w:rsidRPr="0026209F" w:rsidRDefault="0026209F" w:rsidP="001415B3">
            <w:pPr>
              <w:pStyle w:val="Tabletext"/>
              <w:jc w:val="left"/>
              <w:rPr>
                <w:lang w:val="en-GB"/>
              </w:rPr>
            </w:pPr>
            <w:r w:rsidRPr="0026209F">
              <w:rPr>
                <w:lang w:val="en-GB"/>
              </w:rPr>
              <w:t>The maximum transmit frequency error: ±2 ppm.</w:t>
            </w:r>
          </w:p>
          <w:p w14:paraId="76D9908F" w14:textId="77777777" w:rsidR="0026209F" w:rsidRPr="0026209F" w:rsidRDefault="0026209F" w:rsidP="001415B3">
            <w:pPr>
              <w:pStyle w:val="Tabletext"/>
              <w:jc w:val="left"/>
              <w:rPr>
                <w:lang w:val="en-GB"/>
              </w:rPr>
            </w:pPr>
            <w:r w:rsidRPr="0026209F">
              <w:rPr>
                <w:lang w:val="en-GB"/>
              </w:rPr>
              <w:t>The maximum time base clock drift error: ±2 ppm.</w:t>
            </w:r>
          </w:p>
        </w:tc>
        <w:tc>
          <w:tcPr>
            <w:tcW w:w="4423" w:type="dxa"/>
          </w:tcPr>
          <w:p w14:paraId="138BA4C1" w14:textId="77777777" w:rsidR="0026209F" w:rsidRPr="0026209F" w:rsidRDefault="0026209F" w:rsidP="001415B3">
            <w:pPr>
              <w:pStyle w:val="Tabletext"/>
              <w:jc w:val="left"/>
              <w:rPr>
                <w:lang w:val="en-GB"/>
              </w:rPr>
            </w:pPr>
            <w:r w:rsidRPr="0026209F">
              <w:rPr>
                <w:lang w:val="en-GB"/>
              </w:rPr>
              <w:t>The maximum transmit frequency error: ±1.5 ppm.</w:t>
            </w:r>
          </w:p>
          <w:p w14:paraId="6F3C3BAE" w14:textId="77777777" w:rsidR="0026209F" w:rsidRPr="0026209F" w:rsidRDefault="0026209F" w:rsidP="001415B3">
            <w:pPr>
              <w:pStyle w:val="Tabletext"/>
              <w:jc w:val="left"/>
              <w:rPr>
                <w:lang w:val="en-GB"/>
              </w:rPr>
            </w:pPr>
            <w:r w:rsidRPr="0026209F">
              <w:rPr>
                <w:lang w:val="en-GB"/>
              </w:rPr>
              <w:t>The maximum time base clock drift error: ±2 ppm.</w:t>
            </w:r>
          </w:p>
        </w:tc>
      </w:tr>
    </w:tbl>
    <w:p w14:paraId="148D35C7" w14:textId="77777777" w:rsidR="0026209F" w:rsidRPr="002B5EEA" w:rsidRDefault="0026209F" w:rsidP="0026209F">
      <w:pPr>
        <w:pStyle w:val="Tablefin"/>
      </w:pPr>
    </w:p>
    <w:p w14:paraId="0854CB45" w14:textId="77777777" w:rsidR="0026209F" w:rsidRPr="0026209F" w:rsidRDefault="0026209F" w:rsidP="0026209F">
      <w:pPr>
        <w:rPr>
          <w:lang w:val="en-GB"/>
        </w:rPr>
      </w:pPr>
      <w:r w:rsidRPr="0026209F">
        <w:rPr>
          <w:bCs/>
          <w:lang w:val="en-GB"/>
        </w:rPr>
        <w:t>11</w:t>
      </w:r>
      <w:r w:rsidRPr="0026209F">
        <w:rPr>
          <w:lang w:val="en-GB"/>
        </w:rPr>
        <w:tab/>
        <w:t>Control, telemetry and other non-voice signals such as paging, should be coded in such a manner as to minimize the possibility of false response to interfering signals.</w:t>
      </w:r>
      <w:r w:rsidRPr="0026209F">
        <w:rPr>
          <w:b/>
          <w:lang w:val="en-GB"/>
        </w:rPr>
        <w:t xml:space="preserve"> </w:t>
      </w:r>
      <w:r w:rsidRPr="0026209F">
        <w:rPr>
          <w:lang w:val="en-GB"/>
        </w:rPr>
        <w:t>The frequencies specified in § 15 below for on-board communications may be used for single frequency and two</w:t>
      </w:r>
      <w:r w:rsidRPr="0026209F">
        <w:rPr>
          <w:lang w:val="en-GB"/>
        </w:rPr>
        <w:noBreakHyphen/>
        <w:t>frequency simplex operation.</w:t>
      </w:r>
    </w:p>
    <w:p w14:paraId="3806BD7B" w14:textId="77777777" w:rsidR="0026209F" w:rsidRPr="0026209F" w:rsidRDefault="0026209F" w:rsidP="0026209F">
      <w:pPr>
        <w:rPr>
          <w:lang w:val="en-GB"/>
        </w:rPr>
      </w:pPr>
      <w:r w:rsidRPr="0026209F">
        <w:rPr>
          <w:bCs/>
          <w:lang w:val="en-GB"/>
        </w:rPr>
        <w:t>12</w:t>
      </w:r>
      <w:r w:rsidRPr="0026209F">
        <w:rPr>
          <w:lang w:val="en-GB"/>
        </w:rPr>
        <w:tab/>
        <w:t>When used in the duplex mode the base transmitter frequency should be selected from the lower range for improved operability.</w:t>
      </w:r>
    </w:p>
    <w:p w14:paraId="759FDFFD" w14:textId="77777777" w:rsidR="0026209F" w:rsidRPr="00335982" w:rsidRDefault="0026209F" w:rsidP="0026209F">
      <w:pPr>
        <w:rPr>
          <w:lang w:val="en-GB"/>
        </w:rPr>
      </w:pPr>
      <w:r w:rsidRPr="00335982">
        <w:rPr>
          <w:bCs/>
          <w:lang w:val="en-GB"/>
        </w:rPr>
        <w:lastRenderedPageBreak/>
        <w:t>13</w:t>
      </w:r>
      <w:r w:rsidRPr="00335982">
        <w:rPr>
          <w:lang w:val="en-GB"/>
        </w:rPr>
        <w:tab/>
        <w:t>In general, if the use of a repeater station is required on board a ship, the frequency</w:t>
      </w:r>
      <w:r w:rsidRPr="00335982">
        <w:rPr>
          <w:bCs/>
          <w:lang w:val="en-GB"/>
        </w:rPr>
        <w:t xml:space="preserve"> bands described in </w:t>
      </w:r>
      <w:r w:rsidRPr="00335982">
        <w:rPr>
          <w:lang w:val="en-GB"/>
        </w:rPr>
        <w:t>RR Nos. </w:t>
      </w:r>
      <w:r w:rsidRPr="00335982">
        <w:rPr>
          <w:b/>
          <w:bCs/>
          <w:lang w:val="en-GB"/>
        </w:rPr>
        <w:t>5.287</w:t>
      </w:r>
      <w:r w:rsidRPr="00335982">
        <w:rPr>
          <w:lang w:val="en-GB"/>
        </w:rPr>
        <w:t xml:space="preserve"> and </w:t>
      </w:r>
      <w:r w:rsidRPr="00335982">
        <w:rPr>
          <w:b/>
          <w:bCs/>
          <w:lang w:val="en-GB"/>
        </w:rPr>
        <w:t>5.288</w:t>
      </w:r>
      <w:r w:rsidRPr="00335982">
        <w:rPr>
          <w:bCs/>
          <w:lang w:val="en-GB"/>
        </w:rPr>
        <w:t xml:space="preserve"> </w:t>
      </w:r>
      <w:r w:rsidRPr="00335982">
        <w:rPr>
          <w:lang w:val="en-GB"/>
        </w:rPr>
        <w:t>should be used. The detailed duplex frequency arrangement is described in § 15 below.</w:t>
      </w:r>
    </w:p>
    <w:p w14:paraId="1160D19E" w14:textId="77777777" w:rsidR="0026209F" w:rsidRPr="00335982" w:rsidRDefault="0026209F" w:rsidP="0026209F">
      <w:pPr>
        <w:rPr>
          <w:lang w:val="en-GB"/>
        </w:rPr>
      </w:pPr>
      <w:r w:rsidRPr="00335982">
        <w:rPr>
          <w:lang w:val="en-GB"/>
        </w:rPr>
        <w:t>14</w:t>
      </w:r>
      <w:r w:rsidRPr="00335982">
        <w:rPr>
          <w:lang w:val="en-GB"/>
        </w:rPr>
        <w:tab/>
        <w:t>Within territorial waters, these frequencies should be used subject to national regulations.</w:t>
      </w:r>
    </w:p>
    <w:p w14:paraId="4A5652AB" w14:textId="77777777" w:rsidR="0026209F" w:rsidRPr="00335982" w:rsidRDefault="0026209F" w:rsidP="0026209F">
      <w:pPr>
        <w:pStyle w:val="Headingb"/>
        <w:rPr>
          <w:lang w:val="en-GB"/>
        </w:rPr>
      </w:pPr>
      <w:r w:rsidRPr="00335982">
        <w:rPr>
          <w:lang w:val="en-GB"/>
        </w:rPr>
        <w:t>15</w:t>
      </w:r>
      <w:r w:rsidRPr="00335982">
        <w:rPr>
          <w:lang w:val="en-GB"/>
        </w:rPr>
        <w:tab/>
        <w:t>Frequencies</w:t>
      </w:r>
    </w:p>
    <w:p w14:paraId="6CAE53C5" w14:textId="77777777" w:rsidR="0026209F" w:rsidRPr="00335982" w:rsidRDefault="0026209F" w:rsidP="0026209F">
      <w:pPr>
        <w:spacing w:after="40"/>
        <w:rPr>
          <w:lang w:val="en-GB"/>
        </w:rPr>
      </w:pPr>
      <w:r w:rsidRPr="00335982">
        <w:rPr>
          <w:lang w:val="en-GB"/>
        </w:rPr>
        <w:t xml:space="preserve">The frequency bands specified in RR No. </w:t>
      </w:r>
      <w:r w:rsidRPr="00335982">
        <w:rPr>
          <w:b/>
          <w:bCs/>
          <w:lang w:val="en-GB"/>
        </w:rPr>
        <w:t>5.287</w:t>
      </w:r>
      <w:r w:rsidRPr="00335982">
        <w:rPr>
          <w:lang w:val="en-GB"/>
        </w:rPr>
        <w:t xml:space="preserve"> (subject to national regulations) shall be used with the following arrangement:</w:t>
      </w:r>
    </w:p>
    <w:p w14:paraId="76D08AC0" w14:textId="77777777" w:rsidR="0026209F" w:rsidRPr="00335982" w:rsidRDefault="0026209F" w:rsidP="0026209F">
      <w:pPr>
        <w:spacing w:after="40"/>
        <w:rPr>
          <w:lang w:val="en-GB"/>
        </w:rPr>
      </w:pPr>
    </w:p>
    <w:tbl>
      <w:tblPr>
        <w:tblW w:w="9639" w:type="dxa"/>
        <w:jc w:val="center"/>
        <w:tblLayout w:type="fixed"/>
        <w:tblLook w:val="04A0" w:firstRow="1" w:lastRow="0" w:firstColumn="1" w:lastColumn="0" w:noHBand="0" w:noVBand="1"/>
      </w:tblPr>
      <w:tblGrid>
        <w:gridCol w:w="493"/>
        <w:gridCol w:w="897"/>
        <w:gridCol w:w="494"/>
        <w:gridCol w:w="1034"/>
        <w:gridCol w:w="509"/>
        <w:gridCol w:w="1140"/>
        <w:gridCol w:w="398"/>
        <w:gridCol w:w="494"/>
        <w:gridCol w:w="950"/>
        <w:gridCol w:w="494"/>
        <w:gridCol w:w="1087"/>
        <w:gridCol w:w="509"/>
        <w:gridCol w:w="1140"/>
      </w:tblGrid>
      <w:tr w:rsidR="0026209F" w:rsidRPr="002B5EEA" w14:paraId="39A9671A" w14:textId="77777777" w:rsidTr="004F6399">
        <w:trPr>
          <w:trHeight w:val="315"/>
          <w:jc w:val="center"/>
        </w:trPr>
        <w:tc>
          <w:tcPr>
            <w:tcW w:w="4989" w:type="dxa"/>
            <w:gridSpan w:val="6"/>
            <w:tcBorders>
              <w:top w:val="single" w:sz="4" w:space="0" w:color="auto"/>
              <w:left w:val="single" w:sz="4" w:space="0" w:color="auto"/>
              <w:bottom w:val="nil"/>
              <w:right w:val="single" w:sz="4" w:space="0" w:color="000000"/>
            </w:tcBorders>
            <w:shd w:val="clear" w:color="auto" w:fill="auto"/>
            <w:vAlign w:val="center"/>
            <w:hideMark/>
          </w:tcPr>
          <w:p w14:paraId="3967CE07" w14:textId="77777777" w:rsidR="0026209F" w:rsidRPr="002B5EEA" w:rsidRDefault="0026209F" w:rsidP="004F6399">
            <w:pPr>
              <w:pStyle w:val="Tablehead"/>
              <w:rPr>
                <w:sz w:val="18"/>
                <w:szCs w:val="18"/>
              </w:rPr>
            </w:pPr>
            <w:r w:rsidRPr="002B5EEA">
              <w:rPr>
                <w:sz w:val="18"/>
                <w:szCs w:val="18"/>
              </w:rPr>
              <w:t>Lower channel</w:t>
            </w:r>
          </w:p>
        </w:tc>
        <w:tc>
          <w:tcPr>
            <w:tcW w:w="420" w:type="dxa"/>
            <w:shd w:val="clear" w:color="auto" w:fill="auto"/>
            <w:noWrap/>
            <w:vAlign w:val="bottom"/>
          </w:tcPr>
          <w:p w14:paraId="5E57BA22" w14:textId="77777777" w:rsidR="0026209F" w:rsidRPr="002B5EEA" w:rsidRDefault="0026209F" w:rsidP="004F6399">
            <w:pPr>
              <w:pStyle w:val="Tablehead"/>
              <w:rPr>
                <w:sz w:val="18"/>
                <w:szCs w:val="18"/>
              </w:rPr>
            </w:pPr>
          </w:p>
        </w:tc>
        <w:tc>
          <w:tcPr>
            <w:tcW w:w="5109" w:type="dxa"/>
            <w:gridSpan w:val="6"/>
            <w:tcBorders>
              <w:top w:val="single" w:sz="4" w:space="0" w:color="auto"/>
              <w:left w:val="single" w:sz="4" w:space="0" w:color="auto"/>
              <w:bottom w:val="nil"/>
              <w:right w:val="single" w:sz="4" w:space="0" w:color="000000"/>
            </w:tcBorders>
            <w:shd w:val="clear" w:color="auto" w:fill="auto"/>
            <w:vAlign w:val="center"/>
            <w:hideMark/>
          </w:tcPr>
          <w:p w14:paraId="668C9127" w14:textId="77777777" w:rsidR="0026209F" w:rsidRPr="002B5EEA" w:rsidRDefault="0026209F" w:rsidP="004F6399">
            <w:pPr>
              <w:pStyle w:val="Tablehead"/>
              <w:rPr>
                <w:sz w:val="18"/>
                <w:szCs w:val="18"/>
              </w:rPr>
            </w:pPr>
            <w:r w:rsidRPr="002B5EEA">
              <w:rPr>
                <w:sz w:val="18"/>
                <w:szCs w:val="18"/>
              </w:rPr>
              <w:t>Upper channel</w:t>
            </w:r>
          </w:p>
        </w:tc>
      </w:tr>
      <w:tr w:rsidR="0026209F" w:rsidRPr="002B5EEA" w14:paraId="269C26D9" w14:textId="77777777" w:rsidTr="004F6399">
        <w:trPr>
          <w:trHeight w:val="315"/>
          <w:jc w:val="center"/>
        </w:trPr>
        <w:tc>
          <w:tcPr>
            <w:tcW w:w="1513" w:type="dxa"/>
            <w:gridSpan w:val="2"/>
            <w:tcBorders>
              <w:top w:val="single" w:sz="4" w:space="0" w:color="auto"/>
              <w:left w:val="single" w:sz="4" w:space="0" w:color="auto"/>
              <w:bottom w:val="nil"/>
              <w:right w:val="single" w:sz="4" w:space="0" w:color="000000"/>
            </w:tcBorders>
            <w:shd w:val="clear" w:color="auto" w:fill="auto"/>
            <w:vAlign w:val="center"/>
            <w:hideMark/>
          </w:tcPr>
          <w:p w14:paraId="32E5136F" w14:textId="77777777" w:rsidR="0026209F" w:rsidRPr="002B5EEA" w:rsidRDefault="0026209F" w:rsidP="004F6399">
            <w:pPr>
              <w:pStyle w:val="Tablehead"/>
              <w:rPr>
                <w:sz w:val="18"/>
                <w:szCs w:val="18"/>
              </w:rPr>
            </w:pPr>
            <w:r w:rsidRPr="002B5EEA">
              <w:rPr>
                <w:sz w:val="18"/>
                <w:szCs w:val="18"/>
              </w:rPr>
              <w:t>25 kHz channel</w:t>
            </w:r>
          </w:p>
        </w:tc>
        <w:tc>
          <w:tcPr>
            <w:tcW w:w="1669" w:type="dxa"/>
            <w:gridSpan w:val="2"/>
            <w:tcBorders>
              <w:top w:val="single" w:sz="4" w:space="0" w:color="auto"/>
              <w:left w:val="nil"/>
              <w:bottom w:val="nil"/>
              <w:right w:val="single" w:sz="4" w:space="0" w:color="000000"/>
            </w:tcBorders>
            <w:shd w:val="clear" w:color="auto" w:fill="auto"/>
            <w:vAlign w:val="center"/>
            <w:hideMark/>
          </w:tcPr>
          <w:p w14:paraId="19274BA3" w14:textId="77777777" w:rsidR="0026209F" w:rsidRPr="002B5EEA" w:rsidRDefault="0026209F" w:rsidP="004F6399">
            <w:pPr>
              <w:pStyle w:val="Tablehead"/>
              <w:rPr>
                <w:sz w:val="18"/>
                <w:szCs w:val="18"/>
              </w:rPr>
            </w:pPr>
            <w:r w:rsidRPr="002B5EEA">
              <w:rPr>
                <w:sz w:val="18"/>
                <w:szCs w:val="18"/>
              </w:rPr>
              <w:t>12.5 kHz channel</w:t>
            </w:r>
          </w:p>
        </w:tc>
        <w:tc>
          <w:tcPr>
            <w:tcW w:w="1807" w:type="dxa"/>
            <w:gridSpan w:val="2"/>
            <w:tcBorders>
              <w:top w:val="single" w:sz="4" w:space="0" w:color="auto"/>
              <w:left w:val="nil"/>
              <w:bottom w:val="nil"/>
              <w:right w:val="single" w:sz="4" w:space="0" w:color="000000"/>
            </w:tcBorders>
            <w:shd w:val="clear" w:color="auto" w:fill="auto"/>
            <w:vAlign w:val="center"/>
            <w:hideMark/>
          </w:tcPr>
          <w:p w14:paraId="138D7C8A" w14:textId="77777777" w:rsidR="0026209F" w:rsidRPr="002B5EEA" w:rsidRDefault="0026209F" w:rsidP="004F6399">
            <w:pPr>
              <w:pStyle w:val="Tablehead"/>
              <w:rPr>
                <w:sz w:val="18"/>
                <w:szCs w:val="18"/>
              </w:rPr>
            </w:pPr>
            <w:r w:rsidRPr="002B5EEA">
              <w:rPr>
                <w:sz w:val="18"/>
                <w:szCs w:val="18"/>
              </w:rPr>
              <w:t>6.25 kHz channel</w:t>
            </w:r>
          </w:p>
        </w:tc>
        <w:tc>
          <w:tcPr>
            <w:tcW w:w="420" w:type="dxa"/>
            <w:shd w:val="clear" w:color="auto" w:fill="auto"/>
            <w:noWrap/>
            <w:vAlign w:val="bottom"/>
            <w:hideMark/>
          </w:tcPr>
          <w:p w14:paraId="35EF892F" w14:textId="77777777" w:rsidR="0026209F" w:rsidRPr="002B5EEA" w:rsidRDefault="0026209F" w:rsidP="004F6399">
            <w:pPr>
              <w:pStyle w:val="Tabletext"/>
              <w:jc w:val="center"/>
              <w:rPr>
                <w:sz w:val="18"/>
                <w:szCs w:val="18"/>
              </w:rPr>
            </w:pPr>
          </w:p>
        </w:tc>
        <w:tc>
          <w:tcPr>
            <w:tcW w:w="1573" w:type="dxa"/>
            <w:gridSpan w:val="2"/>
            <w:tcBorders>
              <w:top w:val="single" w:sz="4" w:space="0" w:color="auto"/>
              <w:left w:val="single" w:sz="4" w:space="0" w:color="auto"/>
              <w:bottom w:val="nil"/>
              <w:right w:val="single" w:sz="4" w:space="0" w:color="000000"/>
            </w:tcBorders>
            <w:shd w:val="clear" w:color="auto" w:fill="auto"/>
            <w:vAlign w:val="center"/>
            <w:hideMark/>
          </w:tcPr>
          <w:p w14:paraId="416E9BC1" w14:textId="77777777" w:rsidR="0026209F" w:rsidRPr="002B5EEA" w:rsidRDefault="0026209F" w:rsidP="004F6399">
            <w:pPr>
              <w:pStyle w:val="Tablehead"/>
              <w:rPr>
                <w:sz w:val="18"/>
                <w:szCs w:val="18"/>
              </w:rPr>
            </w:pPr>
            <w:r w:rsidRPr="002B5EEA">
              <w:rPr>
                <w:sz w:val="18"/>
                <w:szCs w:val="18"/>
              </w:rPr>
              <w:t>25 kHz channel</w:t>
            </w:r>
          </w:p>
        </w:tc>
        <w:tc>
          <w:tcPr>
            <w:tcW w:w="1729" w:type="dxa"/>
            <w:gridSpan w:val="2"/>
            <w:tcBorders>
              <w:top w:val="single" w:sz="4" w:space="0" w:color="auto"/>
              <w:left w:val="nil"/>
              <w:bottom w:val="nil"/>
              <w:right w:val="single" w:sz="4" w:space="0" w:color="000000"/>
            </w:tcBorders>
            <w:shd w:val="clear" w:color="auto" w:fill="auto"/>
            <w:vAlign w:val="center"/>
            <w:hideMark/>
          </w:tcPr>
          <w:p w14:paraId="4B5A001F" w14:textId="77777777" w:rsidR="0026209F" w:rsidRPr="002B5EEA" w:rsidRDefault="0026209F" w:rsidP="004F6399">
            <w:pPr>
              <w:pStyle w:val="Tablehead"/>
              <w:rPr>
                <w:sz w:val="18"/>
                <w:szCs w:val="18"/>
              </w:rPr>
            </w:pPr>
            <w:r w:rsidRPr="002B5EEA">
              <w:rPr>
                <w:sz w:val="18"/>
                <w:szCs w:val="18"/>
              </w:rPr>
              <w:t>12.5 kHz channel</w:t>
            </w:r>
          </w:p>
        </w:tc>
        <w:tc>
          <w:tcPr>
            <w:tcW w:w="1807" w:type="dxa"/>
            <w:gridSpan w:val="2"/>
            <w:tcBorders>
              <w:top w:val="single" w:sz="4" w:space="0" w:color="auto"/>
              <w:left w:val="nil"/>
              <w:bottom w:val="nil"/>
              <w:right w:val="single" w:sz="4" w:space="0" w:color="000000"/>
            </w:tcBorders>
            <w:shd w:val="clear" w:color="auto" w:fill="auto"/>
            <w:vAlign w:val="center"/>
            <w:hideMark/>
          </w:tcPr>
          <w:p w14:paraId="56C38A44" w14:textId="77777777" w:rsidR="0026209F" w:rsidRPr="002B5EEA" w:rsidRDefault="0026209F" w:rsidP="004F6399">
            <w:pPr>
              <w:pStyle w:val="Tablehead"/>
              <w:rPr>
                <w:sz w:val="18"/>
                <w:szCs w:val="18"/>
              </w:rPr>
            </w:pPr>
            <w:r w:rsidRPr="002B5EEA">
              <w:rPr>
                <w:sz w:val="18"/>
                <w:szCs w:val="18"/>
              </w:rPr>
              <w:t>6.25 kHz channel</w:t>
            </w:r>
          </w:p>
        </w:tc>
      </w:tr>
      <w:tr w:rsidR="0026209F" w:rsidRPr="002B5EEA" w14:paraId="5D44F64E" w14:textId="77777777" w:rsidTr="004F6399">
        <w:trPr>
          <w:trHeight w:val="315"/>
          <w:jc w:val="center"/>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B2BFF" w14:textId="77777777" w:rsidR="0026209F" w:rsidRPr="002B5EEA" w:rsidRDefault="0026209F" w:rsidP="004F6399">
            <w:pPr>
              <w:pStyle w:val="Tablehead"/>
              <w:rPr>
                <w:sz w:val="18"/>
                <w:szCs w:val="18"/>
              </w:rPr>
            </w:pPr>
            <w:r w:rsidRPr="002B5EEA">
              <w:rPr>
                <w:sz w:val="18"/>
                <w:szCs w:val="18"/>
              </w:rPr>
              <w:t>Ch.</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2923B552" w14:textId="77777777" w:rsidR="0026209F" w:rsidRPr="002B5EEA" w:rsidRDefault="0026209F" w:rsidP="004F6399">
            <w:pPr>
              <w:pStyle w:val="Tablehead"/>
              <w:rPr>
                <w:sz w:val="18"/>
                <w:szCs w:val="18"/>
              </w:rPr>
            </w:pPr>
            <w:r w:rsidRPr="002B5EEA">
              <w:rPr>
                <w:sz w:val="18"/>
                <w:szCs w:val="18"/>
              </w:rPr>
              <w:t>MHz</w:t>
            </w:r>
          </w:p>
        </w:tc>
        <w:tc>
          <w:tcPr>
            <w:tcW w:w="528" w:type="dxa"/>
            <w:tcBorders>
              <w:top w:val="single" w:sz="4" w:space="0" w:color="auto"/>
              <w:left w:val="nil"/>
              <w:bottom w:val="single" w:sz="4" w:space="0" w:color="auto"/>
              <w:right w:val="single" w:sz="4" w:space="0" w:color="auto"/>
            </w:tcBorders>
            <w:shd w:val="clear" w:color="auto" w:fill="auto"/>
            <w:noWrap/>
            <w:vAlign w:val="center"/>
            <w:hideMark/>
          </w:tcPr>
          <w:p w14:paraId="59EFE2E7" w14:textId="77777777" w:rsidR="0026209F" w:rsidRPr="002B5EEA" w:rsidRDefault="0026209F" w:rsidP="004F6399">
            <w:pPr>
              <w:pStyle w:val="Tablehead"/>
              <w:rPr>
                <w:sz w:val="18"/>
                <w:szCs w:val="18"/>
              </w:rPr>
            </w:pPr>
            <w:r w:rsidRPr="002B5EEA">
              <w:rPr>
                <w:sz w:val="18"/>
                <w:szCs w:val="18"/>
              </w:rPr>
              <w:t>Ch.</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14:paraId="62E0A922" w14:textId="77777777" w:rsidR="0026209F" w:rsidRPr="002B5EEA" w:rsidRDefault="0026209F" w:rsidP="004F6399">
            <w:pPr>
              <w:pStyle w:val="Tablehead"/>
              <w:rPr>
                <w:sz w:val="18"/>
                <w:szCs w:val="18"/>
              </w:rPr>
            </w:pPr>
            <w:r w:rsidRPr="002B5EEA">
              <w:rPr>
                <w:sz w:val="18"/>
                <w:szCs w:val="18"/>
              </w:rPr>
              <w:t>MHz</w:t>
            </w:r>
          </w:p>
        </w:tc>
        <w:tc>
          <w:tcPr>
            <w:tcW w:w="546" w:type="dxa"/>
            <w:tcBorders>
              <w:top w:val="single" w:sz="4" w:space="0" w:color="auto"/>
              <w:left w:val="nil"/>
              <w:bottom w:val="single" w:sz="4" w:space="0" w:color="auto"/>
              <w:right w:val="single" w:sz="4" w:space="0" w:color="auto"/>
            </w:tcBorders>
            <w:shd w:val="clear" w:color="auto" w:fill="auto"/>
            <w:noWrap/>
            <w:vAlign w:val="center"/>
            <w:hideMark/>
          </w:tcPr>
          <w:p w14:paraId="5FC568CC" w14:textId="77777777" w:rsidR="0026209F" w:rsidRPr="002B5EEA" w:rsidRDefault="0026209F" w:rsidP="004F6399">
            <w:pPr>
              <w:pStyle w:val="Tablehead"/>
              <w:rPr>
                <w:sz w:val="18"/>
                <w:szCs w:val="18"/>
              </w:rPr>
            </w:pPr>
            <w:r w:rsidRPr="002B5EEA">
              <w:rPr>
                <w:sz w:val="18"/>
                <w:szCs w:val="18"/>
              </w:rPr>
              <w:t>Ch.</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3524615" w14:textId="77777777" w:rsidR="0026209F" w:rsidRPr="002B5EEA" w:rsidRDefault="0026209F" w:rsidP="004F6399">
            <w:pPr>
              <w:pStyle w:val="Tablehead"/>
              <w:rPr>
                <w:sz w:val="18"/>
                <w:szCs w:val="18"/>
              </w:rPr>
            </w:pPr>
            <w:r w:rsidRPr="002B5EEA">
              <w:rPr>
                <w:sz w:val="18"/>
                <w:szCs w:val="18"/>
              </w:rPr>
              <w:t>MHz</w:t>
            </w:r>
          </w:p>
        </w:tc>
        <w:tc>
          <w:tcPr>
            <w:tcW w:w="420" w:type="dxa"/>
            <w:shd w:val="clear" w:color="auto" w:fill="auto"/>
            <w:noWrap/>
            <w:vAlign w:val="bottom"/>
            <w:hideMark/>
          </w:tcPr>
          <w:p w14:paraId="765763A6" w14:textId="77777777" w:rsidR="0026209F" w:rsidRPr="002B5EEA" w:rsidRDefault="0026209F" w:rsidP="004F6399">
            <w:pPr>
              <w:pStyle w:val="Tabletext"/>
              <w:jc w:val="center"/>
              <w:rPr>
                <w:sz w:val="18"/>
                <w:szCs w:val="18"/>
              </w:rPr>
            </w:pPr>
          </w:p>
        </w:tc>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6D736" w14:textId="77777777" w:rsidR="0026209F" w:rsidRPr="002B5EEA" w:rsidRDefault="0026209F" w:rsidP="004F6399">
            <w:pPr>
              <w:pStyle w:val="Tablehead"/>
              <w:rPr>
                <w:sz w:val="18"/>
                <w:szCs w:val="18"/>
              </w:rPr>
            </w:pPr>
            <w:r w:rsidRPr="002B5EEA">
              <w:rPr>
                <w:sz w:val="18"/>
                <w:szCs w:val="18"/>
              </w:rPr>
              <w:t>Ch.</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14:paraId="62CAE87D" w14:textId="77777777" w:rsidR="0026209F" w:rsidRPr="002B5EEA" w:rsidRDefault="0026209F" w:rsidP="004F6399">
            <w:pPr>
              <w:pStyle w:val="Tablehead"/>
              <w:rPr>
                <w:sz w:val="18"/>
                <w:szCs w:val="18"/>
              </w:rPr>
            </w:pPr>
            <w:r w:rsidRPr="002B5EEA">
              <w:rPr>
                <w:sz w:val="18"/>
                <w:szCs w:val="18"/>
              </w:rPr>
              <w:t>MHz</w:t>
            </w:r>
          </w:p>
        </w:tc>
        <w:tc>
          <w:tcPr>
            <w:tcW w:w="528" w:type="dxa"/>
            <w:tcBorders>
              <w:top w:val="single" w:sz="4" w:space="0" w:color="auto"/>
              <w:left w:val="nil"/>
              <w:bottom w:val="single" w:sz="4" w:space="0" w:color="auto"/>
              <w:right w:val="single" w:sz="4" w:space="0" w:color="auto"/>
            </w:tcBorders>
            <w:shd w:val="clear" w:color="auto" w:fill="auto"/>
            <w:noWrap/>
            <w:vAlign w:val="center"/>
            <w:hideMark/>
          </w:tcPr>
          <w:p w14:paraId="1D45F441" w14:textId="77777777" w:rsidR="0026209F" w:rsidRPr="002B5EEA" w:rsidRDefault="0026209F" w:rsidP="004F6399">
            <w:pPr>
              <w:pStyle w:val="Tablehead"/>
              <w:rPr>
                <w:sz w:val="18"/>
                <w:szCs w:val="18"/>
              </w:rPr>
            </w:pPr>
            <w:r w:rsidRPr="002B5EEA">
              <w:rPr>
                <w:sz w:val="18"/>
                <w:szCs w:val="18"/>
              </w:rPr>
              <w:t>Ch.</w:t>
            </w: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14:paraId="1FB82A39" w14:textId="77777777" w:rsidR="0026209F" w:rsidRPr="002B5EEA" w:rsidRDefault="0026209F" w:rsidP="004F6399">
            <w:pPr>
              <w:pStyle w:val="Tablehead"/>
              <w:rPr>
                <w:sz w:val="18"/>
                <w:szCs w:val="18"/>
              </w:rPr>
            </w:pPr>
            <w:r w:rsidRPr="002B5EEA">
              <w:rPr>
                <w:sz w:val="18"/>
                <w:szCs w:val="18"/>
              </w:rPr>
              <w:t>MHz</w:t>
            </w:r>
          </w:p>
        </w:tc>
        <w:tc>
          <w:tcPr>
            <w:tcW w:w="546" w:type="dxa"/>
            <w:tcBorders>
              <w:top w:val="single" w:sz="4" w:space="0" w:color="auto"/>
              <w:left w:val="nil"/>
              <w:bottom w:val="single" w:sz="4" w:space="0" w:color="auto"/>
              <w:right w:val="single" w:sz="4" w:space="0" w:color="auto"/>
            </w:tcBorders>
            <w:shd w:val="clear" w:color="auto" w:fill="auto"/>
            <w:noWrap/>
            <w:vAlign w:val="center"/>
            <w:hideMark/>
          </w:tcPr>
          <w:p w14:paraId="7738808E" w14:textId="77777777" w:rsidR="0026209F" w:rsidRPr="002B5EEA" w:rsidRDefault="0026209F" w:rsidP="004F6399">
            <w:pPr>
              <w:pStyle w:val="Tablehead"/>
              <w:rPr>
                <w:sz w:val="18"/>
                <w:szCs w:val="18"/>
              </w:rPr>
            </w:pPr>
            <w:r w:rsidRPr="002B5EEA">
              <w:rPr>
                <w:sz w:val="18"/>
                <w:szCs w:val="18"/>
              </w:rPr>
              <w:t>Ch.</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DA8BC19" w14:textId="77777777" w:rsidR="0026209F" w:rsidRPr="002B5EEA" w:rsidRDefault="0026209F" w:rsidP="004F6399">
            <w:pPr>
              <w:pStyle w:val="Tablehead"/>
              <w:rPr>
                <w:sz w:val="18"/>
                <w:szCs w:val="18"/>
              </w:rPr>
            </w:pPr>
            <w:r w:rsidRPr="002B5EEA">
              <w:rPr>
                <w:sz w:val="18"/>
                <w:szCs w:val="18"/>
              </w:rPr>
              <w:t>MHz</w:t>
            </w:r>
          </w:p>
        </w:tc>
      </w:tr>
      <w:tr w:rsidR="0026209F" w:rsidRPr="002B5EEA" w14:paraId="2FE0029F" w14:textId="77777777" w:rsidTr="004F6399">
        <w:trPr>
          <w:trHeight w:val="199"/>
          <w:jc w:val="center"/>
        </w:trPr>
        <w:tc>
          <w:tcPr>
            <w:tcW w:w="528" w:type="dxa"/>
            <w:shd w:val="clear" w:color="auto" w:fill="auto"/>
            <w:noWrap/>
            <w:vAlign w:val="bottom"/>
            <w:hideMark/>
          </w:tcPr>
          <w:p w14:paraId="39A9E567" w14:textId="77777777" w:rsidR="0026209F" w:rsidRPr="002B5EEA" w:rsidRDefault="0026209F" w:rsidP="004F6399">
            <w:pPr>
              <w:pStyle w:val="Tabletext"/>
              <w:jc w:val="center"/>
              <w:rPr>
                <w:sz w:val="18"/>
                <w:szCs w:val="18"/>
              </w:rPr>
            </w:pPr>
          </w:p>
        </w:tc>
        <w:tc>
          <w:tcPr>
            <w:tcW w:w="985" w:type="dxa"/>
            <w:shd w:val="clear" w:color="auto" w:fill="auto"/>
            <w:noWrap/>
            <w:vAlign w:val="bottom"/>
            <w:hideMark/>
          </w:tcPr>
          <w:p w14:paraId="45D27CCE"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370AC341" w14:textId="77777777" w:rsidR="0026209F" w:rsidRPr="002B5EEA" w:rsidRDefault="0026209F" w:rsidP="004F6399">
            <w:pPr>
              <w:pStyle w:val="Tabletext"/>
              <w:jc w:val="center"/>
              <w:rPr>
                <w:sz w:val="18"/>
                <w:szCs w:val="18"/>
              </w:rPr>
            </w:pPr>
          </w:p>
        </w:tc>
        <w:tc>
          <w:tcPr>
            <w:tcW w:w="1141" w:type="dxa"/>
            <w:shd w:val="clear" w:color="auto" w:fill="auto"/>
            <w:noWrap/>
            <w:vAlign w:val="bottom"/>
            <w:hideMark/>
          </w:tcPr>
          <w:p w14:paraId="32F154FA" w14:textId="77777777" w:rsidR="0026209F" w:rsidRPr="002B5EEA" w:rsidRDefault="0026209F" w:rsidP="004F6399">
            <w:pPr>
              <w:pStyle w:val="Tabletext"/>
              <w:jc w:val="center"/>
              <w:rPr>
                <w:sz w:val="18"/>
                <w:szCs w:val="18"/>
              </w:rPr>
            </w:pPr>
          </w:p>
        </w:tc>
        <w:tc>
          <w:tcPr>
            <w:tcW w:w="546" w:type="dxa"/>
            <w:shd w:val="clear" w:color="auto" w:fill="auto"/>
            <w:noWrap/>
            <w:vAlign w:val="bottom"/>
            <w:hideMark/>
          </w:tcPr>
          <w:p w14:paraId="6F55D5C8" w14:textId="77777777" w:rsidR="0026209F" w:rsidRPr="002B5EEA" w:rsidRDefault="0026209F" w:rsidP="004F6399">
            <w:pPr>
              <w:pStyle w:val="Tabletext"/>
              <w:jc w:val="center"/>
              <w:rPr>
                <w:sz w:val="18"/>
                <w:szCs w:val="18"/>
              </w:rPr>
            </w:pPr>
          </w:p>
        </w:tc>
        <w:tc>
          <w:tcPr>
            <w:tcW w:w="1261" w:type="dxa"/>
            <w:shd w:val="clear" w:color="auto" w:fill="auto"/>
            <w:noWrap/>
            <w:vAlign w:val="bottom"/>
            <w:hideMark/>
          </w:tcPr>
          <w:p w14:paraId="4AF74720"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0B707F01"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75C4FDCF" w14:textId="77777777" w:rsidR="0026209F" w:rsidRPr="002B5EEA" w:rsidRDefault="0026209F" w:rsidP="004F6399">
            <w:pPr>
              <w:pStyle w:val="Tabletext"/>
              <w:jc w:val="center"/>
              <w:rPr>
                <w:sz w:val="18"/>
                <w:szCs w:val="18"/>
              </w:rPr>
            </w:pPr>
          </w:p>
        </w:tc>
        <w:tc>
          <w:tcPr>
            <w:tcW w:w="1045" w:type="dxa"/>
            <w:shd w:val="clear" w:color="auto" w:fill="auto"/>
            <w:noWrap/>
            <w:vAlign w:val="bottom"/>
            <w:hideMark/>
          </w:tcPr>
          <w:p w14:paraId="2149F419"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2D262D56" w14:textId="77777777" w:rsidR="0026209F" w:rsidRPr="002B5EEA" w:rsidRDefault="0026209F" w:rsidP="004F6399">
            <w:pPr>
              <w:pStyle w:val="Tabletext"/>
              <w:jc w:val="center"/>
              <w:rPr>
                <w:sz w:val="18"/>
                <w:szCs w:val="18"/>
              </w:rPr>
            </w:pPr>
          </w:p>
        </w:tc>
        <w:tc>
          <w:tcPr>
            <w:tcW w:w="1201" w:type="dxa"/>
            <w:shd w:val="clear" w:color="auto" w:fill="auto"/>
            <w:noWrap/>
            <w:vAlign w:val="bottom"/>
            <w:hideMark/>
          </w:tcPr>
          <w:p w14:paraId="2CA6164F" w14:textId="77777777" w:rsidR="0026209F" w:rsidRPr="002B5EEA" w:rsidRDefault="0026209F" w:rsidP="004F6399">
            <w:pPr>
              <w:pStyle w:val="Tabletext"/>
              <w:jc w:val="center"/>
              <w:rPr>
                <w:sz w:val="18"/>
                <w:szCs w:val="18"/>
              </w:rPr>
            </w:pPr>
          </w:p>
        </w:tc>
        <w:tc>
          <w:tcPr>
            <w:tcW w:w="546" w:type="dxa"/>
            <w:shd w:val="clear" w:color="auto" w:fill="auto"/>
            <w:noWrap/>
            <w:vAlign w:val="bottom"/>
            <w:hideMark/>
          </w:tcPr>
          <w:p w14:paraId="7AB294E9" w14:textId="77777777" w:rsidR="0026209F" w:rsidRPr="002B5EEA" w:rsidRDefault="0026209F" w:rsidP="004F6399">
            <w:pPr>
              <w:pStyle w:val="Tabletext"/>
              <w:jc w:val="center"/>
              <w:rPr>
                <w:sz w:val="18"/>
                <w:szCs w:val="18"/>
              </w:rPr>
            </w:pPr>
          </w:p>
        </w:tc>
        <w:tc>
          <w:tcPr>
            <w:tcW w:w="1261" w:type="dxa"/>
            <w:shd w:val="clear" w:color="auto" w:fill="auto"/>
            <w:noWrap/>
            <w:vAlign w:val="bottom"/>
            <w:hideMark/>
          </w:tcPr>
          <w:p w14:paraId="3007A209" w14:textId="77777777" w:rsidR="0026209F" w:rsidRPr="002B5EEA" w:rsidRDefault="0026209F" w:rsidP="004F6399">
            <w:pPr>
              <w:pStyle w:val="Tabletext"/>
              <w:jc w:val="center"/>
              <w:rPr>
                <w:sz w:val="18"/>
                <w:szCs w:val="18"/>
              </w:rPr>
            </w:pPr>
          </w:p>
        </w:tc>
      </w:tr>
      <w:tr w:rsidR="0026209F" w:rsidRPr="002B5EEA" w14:paraId="0C9DD496" w14:textId="77777777" w:rsidTr="004F6399">
        <w:trPr>
          <w:trHeight w:val="199"/>
          <w:jc w:val="cent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14EF3" w14:textId="77777777" w:rsidR="0026209F" w:rsidRPr="002B5EEA" w:rsidRDefault="0026209F" w:rsidP="004F6399">
            <w:pPr>
              <w:pStyle w:val="Tabletext"/>
              <w:jc w:val="center"/>
              <w:rPr>
                <w:sz w:val="18"/>
                <w:szCs w:val="18"/>
              </w:rPr>
            </w:pPr>
            <w:r w:rsidRPr="002B5EEA">
              <w:rPr>
                <w:sz w:val="18"/>
                <w:szCs w:val="18"/>
              </w:rPr>
              <w:t>1</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E9B2A" w14:textId="77777777" w:rsidR="0026209F" w:rsidRPr="002B5EEA" w:rsidRDefault="0026209F" w:rsidP="004F6399">
            <w:pPr>
              <w:pStyle w:val="Tabletext"/>
              <w:jc w:val="center"/>
              <w:rPr>
                <w:sz w:val="18"/>
                <w:szCs w:val="18"/>
              </w:rPr>
            </w:pPr>
            <w:r w:rsidRPr="002B5EEA">
              <w:rPr>
                <w:sz w:val="18"/>
                <w:szCs w:val="18"/>
              </w:rPr>
              <w:t>457.525</w:t>
            </w:r>
          </w:p>
        </w:tc>
        <w:tc>
          <w:tcPr>
            <w:tcW w:w="528" w:type="dxa"/>
            <w:shd w:val="clear" w:color="auto" w:fill="auto"/>
            <w:noWrap/>
            <w:vAlign w:val="bottom"/>
            <w:hideMark/>
          </w:tcPr>
          <w:p w14:paraId="202380C3" w14:textId="77777777" w:rsidR="0026209F" w:rsidRPr="002B5EEA" w:rsidRDefault="0026209F" w:rsidP="004F6399">
            <w:pPr>
              <w:pStyle w:val="Tabletext"/>
              <w:jc w:val="center"/>
              <w:rPr>
                <w:sz w:val="18"/>
                <w:szCs w:val="18"/>
              </w:rPr>
            </w:pPr>
          </w:p>
        </w:tc>
        <w:tc>
          <w:tcPr>
            <w:tcW w:w="1141" w:type="dxa"/>
            <w:shd w:val="clear" w:color="auto" w:fill="auto"/>
            <w:noWrap/>
            <w:vAlign w:val="bottom"/>
            <w:hideMark/>
          </w:tcPr>
          <w:p w14:paraId="0D0F7EE7" w14:textId="77777777" w:rsidR="0026209F" w:rsidRPr="002B5EEA" w:rsidRDefault="0026209F" w:rsidP="004F6399">
            <w:pPr>
              <w:pStyle w:val="Tabletext"/>
              <w:jc w:val="center"/>
              <w:rPr>
                <w:sz w:val="18"/>
                <w:szCs w:val="18"/>
              </w:rPr>
            </w:pP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41107" w14:textId="77777777" w:rsidR="0026209F" w:rsidRPr="002B5EEA" w:rsidRDefault="0026209F" w:rsidP="004F6399">
            <w:pPr>
              <w:pStyle w:val="Tabletext"/>
              <w:jc w:val="center"/>
              <w:rPr>
                <w:sz w:val="18"/>
                <w:szCs w:val="18"/>
              </w:rPr>
            </w:pPr>
            <w:r w:rsidRPr="002B5EEA">
              <w:rPr>
                <w:sz w:val="18"/>
                <w:szCs w:val="18"/>
              </w:rPr>
              <w:t>102</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DFA5B" w14:textId="77777777" w:rsidR="0026209F" w:rsidRPr="002B5EEA" w:rsidRDefault="0026209F" w:rsidP="004F6399">
            <w:pPr>
              <w:pStyle w:val="Tabletext"/>
              <w:jc w:val="center"/>
              <w:rPr>
                <w:sz w:val="18"/>
                <w:szCs w:val="18"/>
              </w:rPr>
            </w:pPr>
            <w:r w:rsidRPr="002B5EEA">
              <w:rPr>
                <w:sz w:val="18"/>
                <w:szCs w:val="18"/>
              </w:rPr>
              <w:t>457.515625</w:t>
            </w:r>
          </w:p>
        </w:tc>
        <w:tc>
          <w:tcPr>
            <w:tcW w:w="420" w:type="dxa"/>
            <w:shd w:val="clear" w:color="auto" w:fill="auto"/>
            <w:noWrap/>
            <w:vAlign w:val="bottom"/>
            <w:hideMark/>
          </w:tcPr>
          <w:p w14:paraId="68CA5377" w14:textId="77777777" w:rsidR="0026209F" w:rsidRPr="002B5EEA" w:rsidRDefault="0026209F" w:rsidP="004F6399">
            <w:pPr>
              <w:pStyle w:val="Tabletext"/>
              <w:jc w:val="center"/>
              <w:rPr>
                <w:sz w:val="18"/>
                <w:szCs w:val="18"/>
              </w:rPr>
            </w:pP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0F757" w14:textId="77777777" w:rsidR="0026209F" w:rsidRPr="002B5EEA" w:rsidRDefault="0026209F" w:rsidP="004F6399">
            <w:pPr>
              <w:pStyle w:val="Tabletext"/>
              <w:jc w:val="center"/>
              <w:rPr>
                <w:sz w:val="18"/>
                <w:szCs w:val="18"/>
              </w:rPr>
            </w:pPr>
            <w:r w:rsidRPr="002B5EEA">
              <w:rPr>
                <w:sz w:val="18"/>
                <w:szCs w:val="18"/>
              </w:rPr>
              <w:t>4</w:t>
            </w: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D88CB" w14:textId="77777777" w:rsidR="0026209F" w:rsidRPr="002B5EEA" w:rsidRDefault="0026209F" w:rsidP="004F6399">
            <w:pPr>
              <w:pStyle w:val="Tabletext"/>
              <w:jc w:val="center"/>
              <w:rPr>
                <w:sz w:val="18"/>
                <w:szCs w:val="18"/>
              </w:rPr>
            </w:pPr>
            <w:r w:rsidRPr="002B5EEA">
              <w:rPr>
                <w:sz w:val="18"/>
                <w:szCs w:val="18"/>
              </w:rPr>
              <w:t>467.525</w:t>
            </w:r>
          </w:p>
        </w:tc>
        <w:tc>
          <w:tcPr>
            <w:tcW w:w="528" w:type="dxa"/>
            <w:shd w:val="clear" w:color="auto" w:fill="auto"/>
            <w:noWrap/>
            <w:vAlign w:val="bottom"/>
            <w:hideMark/>
          </w:tcPr>
          <w:p w14:paraId="08859277" w14:textId="77777777" w:rsidR="0026209F" w:rsidRPr="002B5EEA" w:rsidRDefault="0026209F" w:rsidP="004F6399">
            <w:pPr>
              <w:pStyle w:val="Tabletext"/>
              <w:jc w:val="center"/>
              <w:rPr>
                <w:sz w:val="18"/>
                <w:szCs w:val="18"/>
              </w:rPr>
            </w:pPr>
          </w:p>
        </w:tc>
        <w:tc>
          <w:tcPr>
            <w:tcW w:w="1201" w:type="dxa"/>
            <w:shd w:val="clear" w:color="auto" w:fill="auto"/>
            <w:noWrap/>
            <w:vAlign w:val="bottom"/>
            <w:hideMark/>
          </w:tcPr>
          <w:p w14:paraId="075093FC" w14:textId="77777777" w:rsidR="0026209F" w:rsidRPr="002B5EEA" w:rsidRDefault="0026209F" w:rsidP="004F6399">
            <w:pPr>
              <w:pStyle w:val="Tabletext"/>
              <w:jc w:val="center"/>
              <w:rPr>
                <w:sz w:val="18"/>
                <w:szCs w:val="18"/>
              </w:rPr>
            </w:pP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9D93A" w14:textId="77777777" w:rsidR="0026209F" w:rsidRPr="002B5EEA" w:rsidRDefault="0026209F" w:rsidP="004F6399">
            <w:pPr>
              <w:pStyle w:val="Tabletext"/>
              <w:jc w:val="center"/>
              <w:rPr>
                <w:sz w:val="18"/>
                <w:szCs w:val="18"/>
              </w:rPr>
            </w:pPr>
            <w:r w:rsidRPr="002B5EEA">
              <w:rPr>
                <w:sz w:val="18"/>
                <w:szCs w:val="18"/>
              </w:rPr>
              <w:t>202</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F6620" w14:textId="77777777" w:rsidR="0026209F" w:rsidRPr="002B5EEA" w:rsidRDefault="0026209F" w:rsidP="004F6399">
            <w:pPr>
              <w:pStyle w:val="Tabletext"/>
              <w:jc w:val="center"/>
              <w:rPr>
                <w:sz w:val="18"/>
                <w:szCs w:val="18"/>
              </w:rPr>
            </w:pPr>
            <w:r w:rsidRPr="002B5EEA">
              <w:rPr>
                <w:sz w:val="18"/>
                <w:szCs w:val="18"/>
              </w:rPr>
              <w:t>467.515625</w:t>
            </w:r>
          </w:p>
        </w:tc>
      </w:tr>
      <w:tr w:rsidR="0026209F" w:rsidRPr="002B5EEA" w14:paraId="296851FE"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F134BE"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8123FB"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7A4E2E8B" w14:textId="77777777" w:rsidR="0026209F" w:rsidRPr="002B5EEA" w:rsidRDefault="0026209F" w:rsidP="004F6399">
            <w:pPr>
              <w:pStyle w:val="Tabletext"/>
              <w:jc w:val="center"/>
              <w:rPr>
                <w:sz w:val="18"/>
                <w:szCs w:val="18"/>
              </w:rPr>
            </w:pPr>
          </w:p>
        </w:tc>
        <w:tc>
          <w:tcPr>
            <w:tcW w:w="1141" w:type="dxa"/>
            <w:shd w:val="clear" w:color="auto" w:fill="auto"/>
            <w:noWrap/>
            <w:vAlign w:val="bottom"/>
            <w:hideMark/>
          </w:tcPr>
          <w:p w14:paraId="245C8CF3" w14:textId="77777777" w:rsidR="0026209F" w:rsidRPr="002B5EEA" w:rsidRDefault="0026209F" w:rsidP="004F6399">
            <w:pPr>
              <w:pStyle w:val="Tabletext"/>
              <w:jc w:val="center"/>
              <w:rPr>
                <w:sz w:val="18"/>
                <w:szCs w:val="18"/>
              </w:rPr>
            </w:pPr>
          </w:p>
        </w:tc>
        <w:tc>
          <w:tcPr>
            <w:tcW w:w="5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9802E6" w14:textId="77777777" w:rsidR="0026209F" w:rsidRPr="002B5EEA" w:rsidRDefault="0026209F" w:rsidP="004F6399">
            <w:pPr>
              <w:pStyle w:val="Tabletext"/>
              <w:jc w:val="center"/>
              <w:rPr>
                <w:sz w:val="18"/>
                <w:szCs w:val="18"/>
              </w:rPr>
            </w:pPr>
          </w:p>
        </w:tc>
        <w:tc>
          <w:tcPr>
            <w:tcW w:w="12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B3E303"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5F189911"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B51D1B"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2A7F48"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5161CB44" w14:textId="77777777" w:rsidR="0026209F" w:rsidRPr="002B5EEA" w:rsidRDefault="0026209F" w:rsidP="004F6399">
            <w:pPr>
              <w:pStyle w:val="Tabletext"/>
              <w:jc w:val="center"/>
              <w:rPr>
                <w:sz w:val="18"/>
                <w:szCs w:val="18"/>
              </w:rPr>
            </w:pPr>
          </w:p>
        </w:tc>
        <w:tc>
          <w:tcPr>
            <w:tcW w:w="1201" w:type="dxa"/>
            <w:shd w:val="clear" w:color="auto" w:fill="auto"/>
            <w:noWrap/>
            <w:vAlign w:val="bottom"/>
            <w:hideMark/>
          </w:tcPr>
          <w:p w14:paraId="2FBFCEF0" w14:textId="77777777" w:rsidR="0026209F" w:rsidRPr="002B5EEA" w:rsidRDefault="0026209F" w:rsidP="004F6399">
            <w:pPr>
              <w:pStyle w:val="Tabletext"/>
              <w:jc w:val="center"/>
              <w:rPr>
                <w:sz w:val="18"/>
                <w:szCs w:val="18"/>
              </w:rPr>
            </w:pPr>
          </w:p>
        </w:tc>
        <w:tc>
          <w:tcPr>
            <w:tcW w:w="5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2A1DB" w14:textId="77777777" w:rsidR="0026209F" w:rsidRPr="002B5EEA" w:rsidRDefault="0026209F" w:rsidP="004F6399">
            <w:pPr>
              <w:pStyle w:val="Tabletext"/>
              <w:jc w:val="center"/>
              <w:rPr>
                <w:sz w:val="18"/>
                <w:szCs w:val="18"/>
              </w:rPr>
            </w:pPr>
          </w:p>
        </w:tc>
        <w:tc>
          <w:tcPr>
            <w:tcW w:w="12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B83224" w14:textId="77777777" w:rsidR="0026209F" w:rsidRPr="002B5EEA" w:rsidRDefault="0026209F" w:rsidP="004F6399">
            <w:pPr>
              <w:pStyle w:val="Tabletext"/>
              <w:jc w:val="center"/>
              <w:rPr>
                <w:sz w:val="18"/>
                <w:szCs w:val="18"/>
              </w:rPr>
            </w:pPr>
          </w:p>
        </w:tc>
      </w:tr>
      <w:tr w:rsidR="0026209F" w:rsidRPr="002B5EEA" w14:paraId="488D793F"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1E389E"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6ED9D7" w14:textId="77777777" w:rsidR="0026209F" w:rsidRPr="002B5EEA" w:rsidRDefault="0026209F" w:rsidP="004F6399">
            <w:pPr>
              <w:pStyle w:val="Tabletext"/>
              <w:jc w:val="center"/>
              <w:rPr>
                <w:sz w:val="18"/>
                <w:szCs w:val="18"/>
              </w:rPr>
            </w:pPr>
          </w:p>
        </w:tc>
        <w:tc>
          <w:tcPr>
            <w:tcW w:w="528"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43A80225" w14:textId="77777777" w:rsidR="0026209F" w:rsidRPr="002B5EEA" w:rsidRDefault="0026209F" w:rsidP="004F6399">
            <w:pPr>
              <w:pStyle w:val="Tabletext"/>
              <w:jc w:val="center"/>
              <w:rPr>
                <w:sz w:val="18"/>
                <w:szCs w:val="18"/>
              </w:rPr>
            </w:pPr>
            <w:r w:rsidRPr="002B5EEA">
              <w:rPr>
                <w:sz w:val="18"/>
                <w:szCs w:val="18"/>
              </w:rPr>
              <w:t>11</w:t>
            </w:r>
          </w:p>
        </w:tc>
        <w:tc>
          <w:tcPr>
            <w:tcW w:w="1141"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1F6714CB" w14:textId="77777777" w:rsidR="0026209F" w:rsidRPr="002B5EEA" w:rsidRDefault="0026209F" w:rsidP="004F6399">
            <w:pPr>
              <w:pStyle w:val="Tabletext"/>
              <w:jc w:val="center"/>
              <w:rPr>
                <w:sz w:val="18"/>
                <w:szCs w:val="18"/>
              </w:rPr>
            </w:pPr>
            <w:r w:rsidRPr="002B5EEA">
              <w:rPr>
                <w:sz w:val="18"/>
                <w:szCs w:val="18"/>
              </w:rPr>
              <w:t>457.5250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9570EF" w14:textId="77777777" w:rsidR="0026209F" w:rsidRPr="002B5EEA" w:rsidRDefault="0026209F" w:rsidP="004F6399">
            <w:pPr>
              <w:pStyle w:val="Tabletext"/>
              <w:jc w:val="center"/>
              <w:rPr>
                <w:sz w:val="18"/>
                <w:szCs w:val="18"/>
              </w:rPr>
            </w:pPr>
            <w:r w:rsidRPr="002B5EEA">
              <w:rPr>
                <w:sz w:val="18"/>
                <w:szCs w:val="18"/>
              </w:rPr>
              <w:t>111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1A5BB7" w14:textId="77777777" w:rsidR="0026209F" w:rsidRPr="002B5EEA" w:rsidRDefault="0026209F" w:rsidP="004F6399">
            <w:pPr>
              <w:pStyle w:val="Tabletext"/>
              <w:jc w:val="center"/>
              <w:rPr>
                <w:sz w:val="18"/>
                <w:szCs w:val="18"/>
              </w:rPr>
            </w:pPr>
            <w:r w:rsidRPr="002B5EEA">
              <w:rPr>
                <w:sz w:val="18"/>
                <w:szCs w:val="18"/>
              </w:rPr>
              <w:t>457.521875</w:t>
            </w:r>
          </w:p>
        </w:tc>
        <w:tc>
          <w:tcPr>
            <w:tcW w:w="420" w:type="dxa"/>
            <w:shd w:val="clear" w:color="auto" w:fill="auto"/>
            <w:noWrap/>
            <w:vAlign w:val="bottom"/>
            <w:hideMark/>
          </w:tcPr>
          <w:p w14:paraId="5E3D3B9E"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2508D1"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D033C3" w14:textId="77777777" w:rsidR="0026209F" w:rsidRPr="002B5EEA" w:rsidRDefault="0026209F" w:rsidP="004F6399">
            <w:pPr>
              <w:pStyle w:val="Tabletext"/>
              <w:jc w:val="center"/>
              <w:rPr>
                <w:sz w:val="18"/>
                <w:szCs w:val="18"/>
              </w:rPr>
            </w:pPr>
          </w:p>
        </w:tc>
        <w:tc>
          <w:tcPr>
            <w:tcW w:w="528"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575E80CD" w14:textId="77777777" w:rsidR="0026209F" w:rsidRPr="002B5EEA" w:rsidRDefault="0026209F" w:rsidP="004F6399">
            <w:pPr>
              <w:pStyle w:val="Tabletext"/>
              <w:jc w:val="center"/>
              <w:rPr>
                <w:sz w:val="18"/>
                <w:szCs w:val="18"/>
              </w:rPr>
            </w:pPr>
            <w:r w:rsidRPr="002B5EEA">
              <w:rPr>
                <w:sz w:val="18"/>
                <w:szCs w:val="18"/>
              </w:rPr>
              <w:t>21</w:t>
            </w:r>
          </w:p>
        </w:tc>
        <w:tc>
          <w:tcPr>
            <w:tcW w:w="1201"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5F8024D1" w14:textId="77777777" w:rsidR="0026209F" w:rsidRPr="002B5EEA" w:rsidRDefault="0026209F" w:rsidP="004F6399">
            <w:pPr>
              <w:pStyle w:val="Tabletext"/>
              <w:jc w:val="center"/>
              <w:rPr>
                <w:sz w:val="18"/>
                <w:szCs w:val="18"/>
              </w:rPr>
            </w:pPr>
            <w:r w:rsidRPr="002B5EEA">
              <w:rPr>
                <w:sz w:val="18"/>
                <w:szCs w:val="18"/>
              </w:rPr>
              <w:t>467.5250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1158CA" w14:textId="77777777" w:rsidR="0026209F" w:rsidRPr="002B5EEA" w:rsidRDefault="0026209F" w:rsidP="004F6399">
            <w:pPr>
              <w:pStyle w:val="Tabletext"/>
              <w:jc w:val="center"/>
              <w:rPr>
                <w:sz w:val="18"/>
                <w:szCs w:val="18"/>
              </w:rPr>
            </w:pPr>
            <w:r w:rsidRPr="002B5EEA">
              <w:rPr>
                <w:sz w:val="18"/>
                <w:szCs w:val="18"/>
              </w:rPr>
              <w:t>211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8828AD" w14:textId="77777777" w:rsidR="0026209F" w:rsidRPr="002B5EEA" w:rsidRDefault="0026209F" w:rsidP="004F6399">
            <w:pPr>
              <w:pStyle w:val="Tabletext"/>
              <w:jc w:val="center"/>
              <w:rPr>
                <w:sz w:val="18"/>
                <w:szCs w:val="18"/>
              </w:rPr>
            </w:pPr>
            <w:r w:rsidRPr="002B5EEA">
              <w:rPr>
                <w:sz w:val="18"/>
                <w:szCs w:val="18"/>
              </w:rPr>
              <w:t>467.521875</w:t>
            </w:r>
          </w:p>
        </w:tc>
      </w:tr>
      <w:tr w:rsidR="0026209F" w:rsidRPr="002B5EEA" w14:paraId="3FF29534"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713E39"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6D16D3"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0111A241" w14:textId="77777777" w:rsidR="0026209F" w:rsidRPr="002B5EEA" w:rsidRDefault="0026209F" w:rsidP="004F6399">
            <w:pPr>
              <w:pStyle w:val="Tabletext"/>
              <w:jc w:val="center"/>
              <w:rPr>
                <w:sz w:val="18"/>
                <w:szCs w:val="18"/>
              </w:rPr>
            </w:pPr>
          </w:p>
        </w:tc>
        <w:tc>
          <w:tcPr>
            <w:tcW w:w="1141" w:type="dxa"/>
            <w:vMerge/>
            <w:tcBorders>
              <w:top w:val="single" w:sz="4" w:space="0" w:color="auto"/>
              <w:left w:val="single" w:sz="4" w:space="0" w:color="auto"/>
              <w:bottom w:val="single" w:sz="4" w:space="0" w:color="auto"/>
              <w:right w:val="nil"/>
            </w:tcBorders>
            <w:shd w:val="clear" w:color="auto" w:fill="auto"/>
            <w:vAlign w:val="center"/>
            <w:hideMark/>
          </w:tcPr>
          <w:p w14:paraId="1C8A45FF"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7FAC0BD2"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64E67DF"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08F39987"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557669"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AC4D9E"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362A9E6F" w14:textId="77777777" w:rsidR="0026209F" w:rsidRPr="002B5EEA" w:rsidRDefault="0026209F" w:rsidP="004F6399">
            <w:pPr>
              <w:pStyle w:val="Tabletext"/>
              <w:jc w:val="center"/>
              <w:rPr>
                <w:sz w:val="18"/>
                <w:szCs w:val="18"/>
              </w:rPr>
            </w:pPr>
          </w:p>
        </w:tc>
        <w:tc>
          <w:tcPr>
            <w:tcW w:w="1201" w:type="dxa"/>
            <w:vMerge/>
            <w:tcBorders>
              <w:top w:val="single" w:sz="4" w:space="0" w:color="auto"/>
              <w:left w:val="single" w:sz="4" w:space="0" w:color="auto"/>
              <w:bottom w:val="single" w:sz="4" w:space="0" w:color="auto"/>
              <w:right w:val="nil"/>
            </w:tcBorders>
            <w:shd w:val="clear" w:color="auto" w:fill="auto"/>
            <w:vAlign w:val="center"/>
            <w:hideMark/>
          </w:tcPr>
          <w:p w14:paraId="1C0CE1B7"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353BF7B5"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89AA681" w14:textId="77777777" w:rsidR="0026209F" w:rsidRPr="002B5EEA" w:rsidRDefault="0026209F" w:rsidP="004F6399">
            <w:pPr>
              <w:pStyle w:val="Tabletext"/>
              <w:jc w:val="center"/>
              <w:rPr>
                <w:sz w:val="18"/>
                <w:szCs w:val="18"/>
              </w:rPr>
            </w:pPr>
          </w:p>
        </w:tc>
      </w:tr>
      <w:tr w:rsidR="0026209F" w:rsidRPr="002B5EEA" w14:paraId="2F43A54F"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52CCC6"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869C72"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762CBD6B" w14:textId="77777777" w:rsidR="0026209F" w:rsidRPr="002B5EEA" w:rsidRDefault="0026209F" w:rsidP="004F6399">
            <w:pPr>
              <w:pStyle w:val="Tabletext"/>
              <w:jc w:val="center"/>
              <w:rPr>
                <w:sz w:val="18"/>
                <w:szCs w:val="18"/>
              </w:rPr>
            </w:pPr>
          </w:p>
        </w:tc>
        <w:tc>
          <w:tcPr>
            <w:tcW w:w="1141" w:type="dxa"/>
            <w:vMerge/>
            <w:tcBorders>
              <w:top w:val="single" w:sz="4" w:space="0" w:color="auto"/>
              <w:left w:val="single" w:sz="4" w:space="0" w:color="auto"/>
              <w:bottom w:val="single" w:sz="4" w:space="0" w:color="auto"/>
              <w:right w:val="nil"/>
            </w:tcBorders>
            <w:shd w:val="clear" w:color="auto" w:fill="auto"/>
            <w:vAlign w:val="center"/>
            <w:hideMark/>
          </w:tcPr>
          <w:p w14:paraId="2D6BA364"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67EE00" w14:textId="77777777" w:rsidR="0026209F" w:rsidRPr="002B5EEA" w:rsidRDefault="0026209F" w:rsidP="004F6399">
            <w:pPr>
              <w:pStyle w:val="Tabletext"/>
              <w:jc w:val="center"/>
              <w:rPr>
                <w:sz w:val="18"/>
                <w:szCs w:val="18"/>
              </w:rPr>
            </w:pPr>
            <w:r w:rsidRPr="002B5EEA">
              <w:rPr>
                <w:sz w:val="18"/>
                <w:szCs w:val="18"/>
              </w:rPr>
              <w:t>112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223218" w14:textId="77777777" w:rsidR="0026209F" w:rsidRPr="002B5EEA" w:rsidRDefault="0026209F" w:rsidP="004F6399">
            <w:pPr>
              <w:pStyle w:val="Tabletext"/>
              <w:jc w:val="center"/>
              <w:rPr>
                <w:sz w:val="18"/>
                <w:szCs w:val="18"/>
              </w:rPr>
            </w:pPr>
            <w:r w:rsidRPr="002B5EEA">
              <w:rPr>
                <w:sz w:val="18"/>
                <w:szCs w:val="18"/>
              </w:rPr>
              <w:t>457.528125</w:t>
            </w:r>
          </w:p>
        </w:tc>
        <w:tc>
          <w:tcPr>
            <w:tcW w:w="420" w:type="dxa"/>
            <w:shd w:val="clear" w:color="auto" w:fill="auto"/>
            <w:noWrap/>
            <w:vAlign w:val="bottom"/>
            <w:hideMark/>
          </w:tcPr>
          <w:p w14:paraId="6DE8901E"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EDC118"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15624C"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506900BC" w14:textId="77777777" w:rsidR="0026209F" w:rsidRPr="002B5EEA" w:rsidRDefault="0026209F" w:rsidP="004F6399">
            <w:pPr>
              <w:pStyle w:val="Tabletext"/>
              <w:jc w:val="center"/>
              <w:rPr>
                <w:sz w:val="18"/>
                <w:szCs w:val="18"/>
              </w:rPr>
            </w:pPr>
          </w:p>
        </w:tc>
        <w:tc>
          <w:tcPr>
            <w:tcW w:w="1201" w:type="dxa"/>
            <w:vMerge/>
            <w:tcBorders>
              <w:top w:val="single" w:sz="4" w:space="0" w:color="auto"/>
              <w:left w:val="single" w:sz="4" w:space="0" w:color="auto"/>
              <w:bottom w:val="single" w:sz="4" w:space="0" w:color="auto"/>
              <w:right w:val="nil"/>
            </w:tcBorders>
            <w:shd w:val="clear" w:color="auto" w:fill="auto"/>
            <w:vAlign w:val="center"/>
            <w:hideMark/>
          </w:tcPr>
          <w:p w14:paraId="674E0157"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9646AA" w14:textId="77777777" w:rsidR="0026209F" w:rsidRPr="002B5EEA" w:rsidRDefault="0026209F" w:rsidP="004F6399">
            <w:pPr>
              <w:pStyle w:val="Tabletext"/>
              <w:jc w:val="center"/>
              <w:rPr>
                <w:sz w:val="18"/>
                <w:szCs w:val="18"/>
              </w:rPr>
            </w:pPr>
            <w:r w:rsidRPr="002B5EEA">
              <w:rPr>
                <w:sz w:val="18"/>
                <w:szCs w:val="18"/>
              </w:rPr>
              <w:t>212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1BC5A" w14:textId="77777777" w:rsidR="0026209F" w:rsidRPr="002B5EEA" w:rsidRDefault="0026209F" w:rsidP="004F6399">
            <w:pPr>
              <w:pStyle w:val="Tabletext"/>
              <w:jc w:val="center"/>
              <w:rPr>
                <w:sz w:val="18"/>
                <w:szCs w:val="18"/>
              </w:rPr>
            </w:pPr>
            <w:r w:rsidRPr="002B5EEA">
              <w:rPr>
                <w:sz w:val="18"/>
                <w:szCs w:val="18"/>
              </w:rPr>
              <w:t>467.528125</w:t>
            </w:r>
          </w:p>
        </w:tc>
      </w:tr>
      <w:tr w:rsidR="0026209F" w:rsidRPr="002B5EEA" w14:paraId="50CBF837"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298EA8"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529D65"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766D07C6" w14:textId="77777777" w:rsidR="0026209F" w:rsidRPr="002B5EEA" w:rsidRDefault="0026209F" w:rsidP="004F6399">
            <w:pPr>
              <w:pStyle w:val="Tabletext"/>
              <w:jc w:val="center"/>
              <w:rPr>
                <w:sz w:val="18"/>
                <w:szCs w:val="18"/>
              </w:rPr>
            </w:pPr>
          </w:p>
        </w:tc>
        <w:tc>
          <w:tcPr>
            <w:tcW w:w="1141" w:type="dxa"/>
            <w:vMerge/>
            <w:tcBorders>
              <w:top w:val="single" w:sz="4" w:space="0" w:color="auto"/>
              <w:left w:val="single" w:sz="4" w:space="0" w:color="auto"/>
              <w:bottom w:val="single" w:sz="4" w:space="0" w:color="auto"/>
              <w:right w:val="nil"/>
            </w:tcBorders>
            <w:shd w:val="clear" w:color="auto" w:fill="auto"/>
            <w:vAlign w:val="center"/>
            <w:hideMark/>
          </w:tcPr>
          <w:p w14:paraId="4FD04033"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033BB561"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24A9FD57"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2868C7CE"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C5E21B"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800F76"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nil"/>
            </w:tcBorders>
            <w:shd w:val="clear" w:color="auto" w:fill="auto"/>
            <w:vAlign w:val="center"/>
            <w:hideMark/>
          </w:tcPr>
          <w:p w14:paraId="4BDDD9B0" w14:textId="77777777" w:rsidR="0026209F" w:rsidRPr="002B5EEA" w:rsidRDefault="0026209F" w:rsidP="004F6399">
            <w:pPr>
              <w:pStyle w:val="Tabletext"/>
              <w:jc w:val="center"/>
              <w:rPr>
                <w:sz w:val="18"/>
                <w:szCs w:val="18"/>
              </w:rPr>
            </w:pPr>
          </w:p>
        </w:tc>
        <w:tc>
          <w:tcPr>
            <w:tcW w:w="1201" w:type="dxa"/>
            <w:vMerge/>
            <w:tcBorders>
              <w:top w:val="single" w:sz="4" w:space="0" w:color="auto"/>
              <w:left w:val="single" w:sz="4" w:space="0" w:color="auto"/>
              <w:bottom w:val="single" w:sz="4" w:space="0" w:color="auto"/>
              <w:right w:val="nil"/>
            </w:tcBorders>
            <w:shd w:val="clear" w:color="auto" w:fill="auto"/>
            <w:vAlign w:val="center"/>
            <w:hideMark/>
          </w:tcPr>
          <w:p w14:paraId="18F51B25"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0E1F1018"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8B91E4B" w14:textId="77777777" w:rsidR="0026209F" w:rsidRPr="002B5EEA" w:rsidRDefault="0026209F" w:rsidP="004F6399">
            <w:pPr>
              <w:pStyle w:val="Tabletext"/>
              <w:jc w:val="center"/>
              <w:rPr>
                <w:sz w:val="18"/>
                <w:szCs w:val="18"/>
              </w:rPr>
            </w:pPr>
          </w:p>
        </w:tc>
      </w:tr>
      <w:tr w:rsidR="0026209F" w:rsidRPr="002B5EEA" w14:paraId="3C4D8128"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FE2F12"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609E42"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A3FFDA" w14:textId="77777777" w:rsidR="0026209F" w:rsidRPr="002B5EEA" w:rsidRDefault="0026209F" w:rsidP="004F6399">
            <w:pPr>
              <w:pStyle w:val="Tabletext"/>
              <w:jc w:val="center"/>
              <w:rPr>
                <w:sz w:val="18"/>
                <w:szCs w:val="18"/>
              </w:rPr>
            </w:pPr>
            <w:r w:rsidRPr="002B5EEA">
              <w:rPr>
                <w:sz w:val="18"/>
                <w:szCs w:val="18"/>
              </w:rPr>
              <w:t>12</w:t>
            </w:r>
          </w:p>
        </w:tc>
        <w:tc>
          <w:tcPr>
            <w:tcW w:w="1141" w:type="dxa"/>
            <w:vMerge w:val="restart"/>
            <w:tcBorders>
              <w:top w:val="nil"/>
              <w:left w:val="single" w:sz="4" w:space="0" w:color="auto"/>
              <w:bottom w:val="single" w:sz="4" w:space="0" w:color="auto"/>
              <w:right w:val="nil"/>
            </w:tcBorders>
            <w:shd w:val="clear" w:color="auto" w:fill="auto"/>
            <w:noWrap/>
            <w:vAlign w:val="center"/>
            <w:hideMark/>
          </w:tcPr>
          <w:p w14:paraId="389B18AD" w14:textId="77777777" w:rsidR="0026209F" w:rsidRPr="002B5EEA" w:rsidRDefault="0026209F" w:rsidP="004F6399">
            <w:pPr>
              <w:pStyle w:val="Tabletext"/>
              <w:jc w:val="center"/>
              <w:rPr>
                <w:sz w:val="18"/>
                <w:szCs w:val="18"/>
              </w:rPr>
            </w:pPr>
            <w:r w:rsidRPr="002B5EEA">
              <w:rPr>
                <w:sz w:val="18"/>
                <w:szCs w:val="18"/>
              </w:rPr>
              <w:t>457.5375</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0E6D74" w14:textId="77777777" w:rsidR="0026209F" w:rsidRPr="002B5EEA" w:rsidRDefault="0026209F" w:rsidP="004F6399">
            <w:pPr>
              <w:pStyle w:val="Tabletext"/>
              <w:jc w:val="center"/>
              <w:rPr>
                <w:sz w:val="18"/>
                <w:szCs w:val="18"/>
              </w:rPr>
            </w:pPr>
            <w:r w:rsidRPr="002B5EEA">
              <w:rPr>
                <w:sz w:val="18"/>
                <w:szCs w:val="18"/>
              </w:rPr>
              <w:t>121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89D55C" w14:textId="77777777" w:rsidR="0026209F" w:rsidRPr="002B5EEA" w:rsidRDefault="0026209F" w:rsidP="004F6399">
            <w:pPr>
              <w:pStyle w:val="Tabletext"/>
              <w:jc w:val="center"/>
              <w:rPr>
                <w:sz w:val="18"/>
                <w:szCs w:val="18"/>
              </w:rPr>
            </w:pPr>
            <w:r w:rsidRPr="002B5EEA">
              <w:rPr>
                <w:sz w:val="18"/>
                <w:szCs w:val="18"/>
              </w:rPr>
              <w:t>457.534375</w:t>
            </w:r>
          </w:p>
        </w:tc>
        <w:tc>
          <w:tcPr>
            <w:tcW w:w="420" w:type="dxa"/>
            <w:shd w:val="clear" w:color="auto" w:fill="auto"/>
            <w:noWrap/>
            <w:vAlign w:val="bottom"/>
            <w:hideMark/>
          </w:tcPr>
          <w:p w14:paraId="6FCAD235"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EF2667"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A10DAB"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962134" w14:textId="77777777" w:rsidR="0026209F" w:rsidRPr="002B5EEA" w:rsidRDefault="0026209F" w:rsidP="004F6399">
            <w:pPr>
              <w:pStyle w:val="Tabletext"/>
              <w:jc w:val="center"/>
              <w:rPr>
                <w:sz w:val="18"/>
                <w:szCs w:val="18"/>
              </w:rPr>
            </w:pPr>
            <w:r w:rsidRPr="002B5EEA">
              <w:rPr>
                <w:sz w:val="18"/>
                <w:szCs w:val="18"/>
              </w:rPr>
              <w:t>22</w:t>
            </w:r>
          </w:p>
        </w:tc>
        <w:tc>
          <w:tcPr>
            <w:tcW w:w="1201" w:type="dxa"/>
            <w:vMerge w:val="restart"/>
            <w:tcBorders>
              <w:top w:val="nil"/>
              <w:left w:val="single" w:sz="4" w:space="0" w:color="auto"/>
              <w:bottom w:val="single" w:sz="4" w:space="0" w:color="auto"/>
              <w:right w:val="nil"/>
            </w:tcBorders>
            <w:shd w:val="clear" w:color="auto" w:fill="auto"/>
            <w:noWrap/>
            <w:vAlign w:val="center"/>
            <w:hideMark/>
          </w:tcPr>
          <w:p w14:paraId="168497B1" w14:textId="77777777" w:rsidR="0026209F" w:rsidRPr="002B5EEA" w:rsidRDefault="0026209F" w:rsidP="004F6399">
            <w:pPr>
              <w:pStyle w:val="Tabletext"/>
              <w:jc w:val="center"/>
              <w:rPr>
                <w:sz w:val="18"/>
                <w:szCs w:val="18"/>
              </w:rPr>
            </w:pPr>
            <w:r w:rsidRPr="002B5EEA">
              <w:rPr>
                <w:sz w:val="18"/>
                <w:szCs w:val="18"/>
              </w:rPr>
              <w:t>467.5375</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C25EF" w14:textId="77777777" w:rsidR="0026209F" w:rsidRPr="002B5EEA" w:rsidRDefault="0026209F" w:rsidP="004F6399">
            <w:pPr>
              <w:pStyle w:val="Tabletext"/>
              <w:jc w:val="center"/>
              <w:rPr>
                <w:sz w:val="18"/>
                <w:szCs w:val="18"/>
              </w:rPr>
            </w:pPr>
            <w:r w:rsidRPr="002B5EEA">
              <w:rPr>
                <w:sz w:val="18"/>
                <w:szCs w:val="18"/>
              </w:rPr>
              <w:t>221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082A5A" w14:textId="77777777" w:rsidR="0026209F" w:rsidRPr="002B5EEA" w:rsidRDefault="0026209F" w:rsidP="004F6399">
            <w:pPr>
              <w:pStyle w:val="Tabletext"/>
              <w:jc w:val="center"/>
              <w:rPr>
                <w:sz w:val="18"/>
                <w:szCs w:val="18"/>
              </w:rPr>
            </w:pPr>
            <w:r w:rsidRPr="002B5EEA">
              <w:rPr>
                <w:sz w:val="18"/>
                <w:szCs w:val="18"/>
              </w:rPr>
              <w:t>467.534375</w:t>
            </w:r>
          </w:p>
        </w:tc>
      </w:tr>
      <w:tr w:rsidR="0026209F" w:rsidRPr="002B5EEA" w14:paraId="56D01784" w14:textId="77777777" w:rsidTr="004F6399">
        <w:trPr>
          <w:trHeight w:val="199"/>
          <w:jc w:val="center"/>
        </w:trPr>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60B9CC" w14:textId="77777777" w:rsidR="0026209F" w:rsidRPr="002B5EEA" w:rsidRDefault="0026209F" w:rsidP="004F6399">
            <w:pPr>
              <w:pStyle w:val="Tabletext"/>
              <w:jc w:val="center"/>
              <w:rPr>
                <w:sz w:val="18"/>
                <w:szCs w:val="18"/>
              </w:rPr>
            </w:pPr>
          </w:p>
        </w:tc>
        <w:tc>
          <w:tcPr>
            <w:tcW w:w="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C4678F"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42C57F03"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2DA67A6C"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66B33D06"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5390D70"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78C537A2" w14:textId="77777777" w:rsidR="0026209F" w:rsidRPr="002B5EEA" w:rsidRDefault="0026209F" w:rsidP="004F6399">
            <w:pPr>
              <w:pStyle w:val="Tabletext"/>
              <w:jc w:val="center"/>
              <w:rPr>
                <w:sz w:val="18"/>
                <w:szCs w:val="18"/>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F439AA" w14:textId="77777777" w:rsidR="0026209F" w:rsidRPr="002B5EEA" w:rsidRDefault="0026209F" w:rsidP="004F6399">
            <w:pPr>
              <w:pStyle w:val="Tabletext"/>
              <w:jc w:val="center"/>
              <w:rPr>
                <w:sz w:val="18"/>
                <w:szCs w:val="18"/>
              </w:rPr>
            </w:pPr>
          </w:p>
        </w:tc>
        <w:tc>
          <w:tcPr>
            <w:tcW w:w="10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54F350"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7A074BFB"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04FAC935"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2405B4D2"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9F6A978" w14:textId="77777777" w:rsidR="0026209F" w:rsidRPr="002B5EEA" w:rsidRDefault="0026209F" w:rsidP="004F6399">
            <w:pPr>
              <w:pStyle w:val="Tabletext"/>
              <w:jc w:val="center"/>
              <w:rPr>
                <w:sz w:val="18"/>
                <w:szCs w:val="18"/>
              </w:rPr>
            </w:pPr>
          </w:p>
        </w:tc>
      </w:tr>
      <w:tr w:rsidR="0026209F" w:rsidRPr="002B5EEA" w14:paraId="4CC888C6" w14:textId="77777777" w:rsidTr="004F6399">
        <w:trPr>
          <w:trHeight w:val="199"/>
          <w:jc w:val="center"/>
        </w:trPr>
        <w:tc>
          <w:tcPr>
            <w:tcW w:w="52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230244" w14:textId="77777777" w:rsidR="0026209F" w:rsidRPr="002B5EEA" w:rsidRDefault="0026209F" w:rsidP="004F6399">
            <w:pPr>
              <w:pStyle w:val="Tabletext"/>
              <w:jc w:val="center"/>
              <w:rPr>
                <w:sz w:val="18"/>
                <w:szCs w:val="18"/>
              </w:rPr>
            </w:pPr>
            <w:r w:rsidRPr="002B5EEA">
              <w:rPr>
                <w:sz w:val="18"/>
                <w:szCs w:val="18"/>
              </w:rPr>
              <w:t>2</w:t>
            </w:r>
          </w:p>
        </w:tc>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1A9FFA" w14:textId="77777777" w:rsidR="0026209F" w:rsidRPr="002B5EEA" w:rsidRDefault="0026209F" w:rsidP="004F6399">
            <w:pPr>
              <w:pStyle w:val="Tabletext"/>
              <w:jc w:val="center"/>
              <w:rPr>
                <w:sz w:val="18"/>
                <w:szCs w:val="18"/>
              </w:rPr>
            </w:pPr>
            <w:r w:rsidRPr="002B5EEA">
              <w:rPr>
                <w:sz w:val="18"/>
                <w:szCs w:val="18"/>
              </w:rPr>
              <w:t>457.550</w:t>
            </w: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12781948"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246EA25E"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7C75D" w14:textId="77777777" w:rsidR="0026209F" w:rsidRPr="002B5EEA" w:rsidRDefault="0026209F" w:rsidP="004F6399">
            <w:pPr>
              <w:pStyle w:val="Tabletext"/>
              <w:jc w:val="center"/>
              <w:rPr>
                <w:sz w:val="18"/>
                <w:szCs w:val="18"/>
              </w:rPr>
            </w:pPr>
            <w:r w:rsidRPr="002B5EEA">
              <w:rPr>
                <w:sz w:val="18"/>
                <w:szCs w:val="18"/>
              </w:rPr>
              <w:t>122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88251C" w14:textId="77777777" w:rsidR="0026209F" w:rsidRPr="002B5EEA" w:rsidRDefault="0026209F" w:rsidP="004F6399">
            <w:pPr>
              <w:pStyle w:val="Tabletext"/>
              <w:jc w:val="center"/>
              <w:rPr>
                <w:sz w:val="18"/>
                <w:szCs w:val="18"/>
              </w:rPr>
            </w:pPr>
            <w:r w:rsidRPr="002B5EEA">
              <w:rPr>
                <w:sz w:val="18"/>
                <w:szCs w:val="18"/>
              </w:rPr>
              <w:t>457.540625</w:t>
            </w:r>
          </w:p>
        </w:tc>
        <w:tc>
          <w:tcPr>
            <w:tcW w:w="420" w:type="dxa"/>
            <w:shd w:val="clear" w:color="auto" w:fill="auto"/>
            <w:noWrap/>
            <w:vAlign w:val="bottom"/>
            <w:hideMark/>
          </w:tcPr>
          <w:p w14:paraId="17047359"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C9DE72" w14:textId="77777777" w:rsidR="0026209F" w:rsidRPr="002B5EEA" w:rsidRDefault="0026209F" w:rsidP="004F6399">
            <w:pPr>
              <w:pStyle w:val="Tabletext"/>
              <w:jc w:val="center"/>
              <w:rPr>
                <w:sz w:val="18"/>
                <w:szCs w:val="18"/>
              </w:rPr>
            </w:pPr>
            <w:r w:rsidRPr="002B5EEA">
              <w:rPr>
                <w:sz w:val="18"/>
                <w:szCs w:val="18"/>
              </w:rPr>
              <w:t>5</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678F55" w14:textId="77777777" w:rsidR="0026209F" w:rsidRPr="002B5EEA" w:rsidRDefault="0026209F" w:rsidP="004F6399">
            <w:pPr>
              <w:pStyle w:val="Tabletext"/>
              <w:jc w:val="center"/>
              <w:rPr>
                <w:sz w:val="18"/>
                <w:szCs w:val="18"/>
              </w:rPr>
            </w:pPr>
            <w:r w:rsidRPr="002B5EEA">
              <w:rPr>
                <w:sz w:val="18"/>
                <w:szCs w:val="18"/>
              </w:rPr>
              <w:t>467.550</w:t>
            </w: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4EF29A80"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4C1E0C9F"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D70DB9" w14:textId="77777777" w:rsidR="0026209F" w:rsidRPr="002B5EEA" w:rsidRDefault="0026209F" w:rsidP="004F6399">
            <w:pPr>
              <w:pStyle w:val="Tabletext"/>
              <w:jc w:val="center"/>
              <w:rPr>
                <w:sz w:val="18"/>
                <w:szCs w:val="18"/>
              </w:rPr>
            </w:pPr>
            <w:r w:rsidRPr="002B5EEA">
              <w:rPr>
                <w:sz w:val="18"/>
                <w:szCs w:val="18"/>
              </w:rPr>
              <w:t>222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364381" w14:textId="77777777" w:rsidR="0026209F" w:rsidRPr="002B5EEA" w:rsidRDefault="0026209F" w:rsidP="004F6399">
            <w:pPr>
              <w:pStyle w:val="Tabletext"/>
              <w:jc w:val="center"/>
              <w:rPr>
                <w:sz w:val="18"/>
                <w:szCs w:val="18"/>
              </w:rPr>
            </w:pPr>
            <w:r w:rsidRPr="002B5EEA">
              <w:rPr>
                <w:sz w:val="18"/>
                <w:szCs w:val="18"/>
              </w:rPr>
              <w:t>467.540625</w:t>
            </w:r>
          </w:p>
        </w:tc>
      </w:tr>
      <w:tr w:rsidR="0026209F" w:rsidRPr="002B5EEA" w14:paraId="1C823D4F"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4433F6C3"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188E60B9"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2921506E"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7E1760C7"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61E8A3CF"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34E11D3B"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3B2B42E4"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05B1F23C"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16A68D44"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0E86164A"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4911CB48"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4AB05E0D"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6B14EAD7" w14:textId="77777777" w:rsidR="0026209F" w:rsidRPr="002B5EEA" w:rsidRDefault="0026209F" w:rsidP="004F6399">
            <w:pPr>
              <w:pStyle w:val="Tabletext"/>
              <w:jc w:val="center"/>
              <w:rPr>
                <w:sz w:val="18"/>
                <w:szCs w:val="18"/>
              </w:rPr>
            </w:pPr>
          </w:p>
        </w:tc>
      </w:tr>
      <w:tr w:rsidR="0026209F" w:rsidRPr="002B5EEA" w14:paraId="7EF99D1E"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4B76B546"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4151367"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960925" w14:textId="77777777" w:rsidR="0026209F" w:rsidRPr="002B5EEA" w:rsidRDefault="0026209F" w:rsidP="004F6399">
            <w:pPr>
              <w:pStyle w:val="Tabletext"/>
              <w:jc w:val="center"/>
              <w:rPr>
                <w:sz w:val="18"/>
                <w:szCs w:val="18"/>
              </w:rPr>
            </w:pPr>
            <w:r w:rsidRPr="002B5EEA">
              <w:rPr>
                <w:sz w:val="18"/>
                <w:szCs w:val="18"/>
              </w:rPr>
              <w:t>13</w:t>
            </w:r>
          </w:p>
        </w:tc>
        <w:tc>
          <w:tcPr>
            <w:tcW w:w="1141" w:type="dxa"/>
            <w:vMerge w:val="restart"/>
            <w:tcBorders>
              <w:top w:val="nil"/>
              <w:left w:val="single" w:sz="4" w:space="0" w:color="auto"/>
              <w:bottom w:val="single" w:sz="4" w:space="0" w:color="auto"/>
              <w:right w:val="nil"/>
            </w:tcBorders>
            <w:shd w:val="clear" w:color="auto" w:fill="auto"/>
            <w:noWrap/>
            <w:vAlign w:val="center"/>
            <w:hideMark/>
          </w:tcPr>
          <w:p w14:paraId="31E9A928" w14:textId="77777777" w:rsidR="0026209F" w:rsidRPr="002B5EEA" w:rsidRDefault="0026209F" w:rsidP="004F6399">
            <w:pPr>
              <w:pStyle w:val="Tabletext"/>
              <w:jc w:val="center"/>
              <w:rPr>
                <w:sz w:val="18"/>
                <w:szCs w:val="18"/>
              </w:rPr>
            </w:pPr>
            <w:r w:rsidRPr="002B5EEA">
              <w:rPr>
                <w:sz w:val="18"/>
                <w:szCs w:val="18"/>
              </w:rPr>
              <w:t>457.5500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0B3FC4" w14:textId="77777777" w:rsidR="0026209F" w:rsidRPr="002B5EEA" w:rsidRDefault="0026209F" w:rsidP="004F6399">
            <w:pPr>
              <w:pStyle w:val="Tabletext"/>
              <w:jc w:val="center"/>
              <w:rPr>
                <w:sz w:val="18"/>
                <w:szCs w:val="18"/>
              </w:rPr>
            </w:pPr>
            <w:r w:rsidRPr="002B5EEA">
              <w:rPr>
                <w:sz w:val="18"/>
                <w:szCs w:val="18"/>
              </w:rPr>
              <w:t>131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9A330D" w14:textId="77777777" w:rsidR="0026209F" w:rsidRPr="002B5EEA" w:rsidRDefault="0026209F" w:rsidP="004F6399">
            <w:pPr>
              <w:pStyle w:val="Tabletext"/>
              <w:jc w:val="center"/>
              <w:rPr>
                <w:sz w:val="18"/>
                <w:szCs w:val="18"/>
              </w:rPr>
            </w:pPr>
            <w:r w:rsidRPr="002B5EEA">
              <w:rPr>
                <w:sz w:val="18"/>
                <w:szCs w:val="18"/>
              </w:rPr>
              <w:t>457.546875</w:t>
            </w:r>
          </w:p>
        </w:tc>
        <w:tc>
          <w:tcPr>
            <w:tcW w:w="420" w:type="dxa"/>
            <w:shd w:val="clear" w:color="auto" w:fill="auto"/>
            <w:noWrap/>
            <w:vAlign w:val="bottom"/>
            <w:hideMark/>
          </w:tcPr>
          <w:p w14:paraId="64A51C1D"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2D346CB0"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4F3A61D8"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C8875E" w14:textId="77777777" w:rsidR="0026209F" w:rsidRPr="002B5EEA" w:rsidRDefault="0026209F" w:rsidP="004F6399">
            <w:pPr>
              <w:pStyle w:val="Tabletext"/>
              <w:jc w:val="center"/>
              <w:rPr>
                <w:sz w:val="18"/>
                <w:szCs w:val="18"/>
              </w:rPr>
            </w:pPr>
            <w:r w:rsidRPr="002B5EEA">
              <w:rPr>
                <w:sz w:val="18"/>
                <w:szCs w:val="18"/>
              </w:rPr>
              <w:t>23</w:t>
            </w:r>
          </w:p>
        </w:tc>
        <w:tc>
          <w:tcPr>
            <w:tcW w:w="1201" w:type="dxa"/>
            <w:vMerge w:val="restart"/>
            <w:tcBorders>
              <w:top w:val="nil"/>
              <w:left w:val="single" w:sz="4" w:space="0" w:color="auto"/>
              <w:bottom w:val="single" w:sz="4" w:space="0" w:color="auto"/>
              <w:right w:val="nil"/>
            </w:tcBorders>
            <w:shd w:val="clear" w:color="auto" w:fill="auto"/>
            <w:noWrap/>
            <w:vAlign w:val="center"/>
            <w:hideMark/>
          </w:tcPr>
          <w:p w14:paraId="60FDEA34" w14:textId="77777777" w:rsidR="0026209F" w:rsidRPr="002B5EEA" w:rsidRDefault="0026209F" w:rsidP="004F6399">
            <w:pPr>
              <w:pStyle w:val="Tabletext"/>
              <w:jc w:val="center"/>
              <w:rPr>
                <w:sz w:val="18"/>
                <w:szCs w:val="18"/>
              </w:rPr>
            </w:pPr>
            <w:r w:rsidRPr="002B5EEA">
              <w:rPr>
                <w:sz w:val="18"/>
                <w:szCs w:val="18"/>
              </w:rPr>
              <w:t>467.5500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0EAA8E" w14:textId="77777777" w:rsidR="0026209F" w:rsidRPr="002B5EEA" w:rsidRDefault="0026209F" w:rsidP="004F6399">
            <w:pPr>
              <w:pStyle w:val="Tabletext"/>
              <w:jc w:val="center"/>
              <w:rPr>
                <w:sz w:val="18"/>
                <w:szCs w:val="18"/>
              </w:rPr>
            </w:pPr>
            <w:r w:rsidRPr="002B5EEA">
              <w:rPr>
                <w:sz w:val="18"/>
                <w:szCs w:val="18"/>
              </w:rPr>
              <w:t>231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B1BF03" w14:textId="77777777" w:rsidR="0026209F" w:rsidRPr="002B5EEA" w:rsidRDefault="0026209F" w:rsidP="004F6399">
            <w:pPr>
              <w:pStyle w:val="Tabletext"/>
              <w:jc w:val="center"/>
              <w:rPr>
                <w:sz w:val="18"/>
                <w:szCs w:val="18"/>
              </w:rPr>
            </w:pPr>
            <w:r w:rsidRPr="002B5EEA">
              <w:rPr>
                <w:sz w:val="18"/>
                <w:szCs w:val="18"/>
              </w:rPr>
              <w:t>467.546875</w:t>
            </w:r>
          </w:p>
        </w:tc>
      </w:tr>
      <w:tr w:rsidR="0026209F" w:rsidRPr="002B5EEA" w14:paraId="3E29780A"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490D8F98"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84A9243"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4FD9D839"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7348F246"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50835307"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9150716"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16BDC524"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0940AA02"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10C6BD7C"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335FFEB6"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04BB5C98"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22DBE9D8"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69A6C6E7" w14:textId="77777777" w:rsidR="0026209F" w:rsidRPr="002B5EEA" w:rsidRDefault="0026209F" w:rsidP="004F6399">
            <w:pPr>
              <w:pStyle w:val="Tabletext"/>
              <w:jc w:val="center"/>
              <w:rPr>
                <w:sz w:val="18"/>
                <w:szCs w:val="18"/>
              </w:rPr>
            </w:pPr>
          </w:p>
        </w:tc>
      </w:tr>
      <w:tr w:rsidR="0026209F" w:rsidRPr="002B5EEA" w14:paraId="7ECBBEE1"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7EEF597"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05509985"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001E39DE"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229EB61E"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BD66C8" w14:textId="77777777" w:rsidR="0026209F" w:rsidRPr="002B5EEA" w:rsidRDefault="0026209F" w:rsidP="004F6399">
            <w:pPr>
              <w:pStyle w:val="Tabletext"/>
              <w:jc w:val="center"/>
              <w:rPr>
                <w:sz w:val="18"/>
                <w:szCs w:val="18"/>
              </w:rPr>
            </w:pPr>
            <w:r w:rsidRPr="002B5EEA">
              <w:rPr>
                <w:sz w:val="18"/>
                <w:szCs w:val="18"/>
              </w:rPr>
              <w:t>132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1CCC44" w14:textId="77777777" w:rsidR="0026209F" w:rsidRPr="002B5EEA" w:rsidRDefault="0026209F" w:rsidP="004F6399">
            <w:pPr>
              <w:pStyle w:val="Tabletext"/>
              <w:jc w:val="center"/>
              <w:rPr>
                <w:sz w:val="18"/>
                <w:szCs w:val="18"/>
              </w:rPr>
            </w:pPr>
            <w:r w:rsidRPr="002B5EEA">
              <w:rPr>
                <w:sz w:val="18"/>
                <w:szCs w:val="18"/>
              </w:rPr>
              <w:t>457.553125</w:t>
            </w:r>
          </w:p>
        </w:tc>
        <w:tc>
          <w:tcPr>
            <w:tcW w:w="420" w:type="dxa"/>
            <w:shd w:val="clear" w:color="auto" w:fill="auto"/>
            <w:noWrap/>
            <w:vAlign w:val="bottom"/>
            <w:hideMark/>
          </w:tcPr>
          <w:p w14:paraId="39D51CBA"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3FBBE51C"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26513F56"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15F789C1"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546C7DD7"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247AF1" w14:textId="77777777" w:rsidR="0026209F" w:rsidRPr="002B5EEA" w:rsidRDefault="0026209F" w:rsidP="004F6399">
            <w:pPr>
              <w:pStyle w:val="Tabletext"/>
              <w:jc w:val="center"/>
              <w:rPr>
                <w:sz w:val="18"/>
                <w:szCs w:val="18"/>
              </w:rPr>
            </w:pPr>
            <w:r w:rsidRPr="002B5EEA">
              <w:rPr>
                <w:sz w:val="18"/>
                <w:szCs w:val="18"/>
              </w:rPr>
              <w:t>232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8D6796" w14:textId="77777777" w:rsidR="0026209F" w:rsidRPr="002B5EEA" w:rsidRDefault="0026209F" w:rsidP="004F6399">
            <w:pPr>
              <w:pStyle w:val="Tabletext"/>
              <w:jc w:val="center"/>
              <w:rPr>
                <w:sz w:val="18"/>
                <w:szCs w:val="18"/>
              </w:rPr>
            </w:pPr>
            <w:r w:rsidRPr="002B5EEA">
              <w:rPr>
                <w:sz w:val="18"/>
                <w:szCs w:val="18"/>
              </w:rPr>
              <w:t>467.553125</w:t>
            </w:r>
          </w:p>
        </w:tc>
      </w:tr>
      <w:tr w:rsidR="0026209F" w:rsidRPr="002B5EEA" w14:paraId="1CCDC50F"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6966B253"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3D40C45"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18E77F0C"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0401A9E2"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4EDEF142"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9DA469E"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25D40CD7"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2FD6E18"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5F756E53"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37165DAA"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701411BB"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4CF91E01"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C00FBEF" w14:textId="77777777" w:rsidR="0026209F" w:rsidRPr="002B5EEA" w:rsidRDefault="0026209F" w:rsidP="004F6399">
            <w:pPr>
              <w:pStyle w:val="Tabletext"/>
              <w:jc w:val="center"/>
              <w:rPr>
                <w:sz w:val="18"/>
                <w:szCs w:val="18"/>
              </w:rPr>
            </w:pPr>
          </w:p>
        </w:tc>
      </w:tr>
      <w:tr w:rsidR="0026209F" w:rsidRPr="002B5EEA" w14:paraId="78F7868E"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1D0DA3FF"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F59356B"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63242A" w14:textId="77777777" w:rsidR="0026209F" w:rsidRPr="002B5EEA" w:rsidRDefault="0026209F" w:rsidP="004F6399">
            <w:pPr>
              <w:pStyle w:val="Tabletext"/>
              <w:jc w:val="center"/>
              <w:rPr>
                <w:sz w:val="18"/>
                <w:szCs w:val="18"/>
              </w:rPr>
            </w:pPr>
            <w:r w:rsidRPr="002B5EEA">
              <w:rPr>
                <w:sz w:val="18"/>
                <w:szCs w:val="18"/>
              </w:rPr>
              <w:t>14</w:t>
            </w:r>
          </w:p>
        </w:tc>
        <w:tc>
          <w:tcPr>
            <w:tcW w:w="1141" w:type="dxa"/>
            <w:vMerge w:val="restart"/>
            <w:tcBorders>
              <w:top w:val="nil"/>
              <w:left w:val="single" w:sz="4" w:space="0" w:color="auto"/>
              <w:bottom w:val="single" w:sz="4" w:space="0" w:color="auto"/>
              <w:right w:val="nil"/>
            </w:tcBorders>
            <w:shd w:val="clear" w:color="auto" w:fill="auto"/>
            <w:noWrap/>
            <w:vAlign w:val="center"/>
            <w:hideMark/>
          </w:tcPr>
          <w:p w14:paraId="526F0E03" w14:textId="77777777" w:rsidR="0026209F" w:rsidRPr="002B5EEA" w:rsidRDefault="0026209F" w:rsidP="004F6399">
            <w:pPr>
              <w:pStyle w:val="Tabletext"/>
              <w:jc w:val="center"/>
              <w:rPr>
                <w:sz w:val="18"/>
                <w:szCs w:val="18"/>
              </w:rPr>
            </w:pPr>
            <w:r w:rsidRPr="002B5EEA">
              <w:rPr>
                <w:sz w:val="18"/>
                <w:szCs w:val="18"/>
              </w:rPr>
              <w:t>457.5625</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79701F" w14:textId="77777777" w:rsidR="0026209F" w:rsidRPr="002B5EEA" w:rsidRDefault="0026209F" w:rsidP="004F6399">
            <w:pPr>
              <w:pStyle w:val="Tabletext"/>
              <w:jc w:val="center"/>
              <w:rPr>
                <w:sz w:val="18"/>
                <w:szCs w:val="18"/>
              </w:rPr>
            </w:pPr>
            <w:r w:rsidRPr="002B5EEA">
              <w:rPr>
                <w:sz w:val="18"/>
                <w:szCs w:val="18"/>
              </w:rPr>
              <w:t>141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CEFF60" w14:textId="77777777" w:rsidR="0026209F" w:rsidRPr="002B5EEA" w:rsidRDefault="0026209F" w:rsidP="004F6399">
            <w:pPr>
              <w:pStyle w:val="Tabletext"/>
              <w:jc w:val="center"/>
              <w:rPr>
                <w:sz w:val="18"/>
                <w:szCs w:val="18"/>
              </w:rPr>
            </w:pPr>
            <w:r w:rsidRPr="002B5EEA">
              <w:rPr>
                <w:sz w:val="18"/>
                <w:szCs w:val="18"/>
              </w:rPr>
              <w:t>457.559375</w:t>
            </w:r>
          </w:p>
        </w:tc>
        <w:tc>
          <w:tcPr>
            <w:tcW w:w="420" w:type="dxa"/>
            <w:shd w:val="clear" w:color="auto" w:fill="auto"/>
            <w:noWrap/>
            <w:vAlign w:val="bottom"/>
            <w:hideMark/>
          </w:tcPr>
          <w:p w14:paraId="2A27BC80"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1773DEF"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668FE5F2"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7552E0" w14:textId="77777777" w:rsidR="0026209F" w:rsidRPr="002B5EEA" w:rsidRDefault="0026209F" w:rsidP="004F6399">
            <w:pPr>
              <w:pStyle w:val="Tabletext"/>
              <w:jc w:val="center"/>
              <w:rPr>
                <w:sz w:val="18"/>
                <w:szCs w:val="18"/>
              </w:rPr>
            </w:pPr>
            <w:r w:rsidRPr="002B5EEA">
              <w:rPr>
                <w:sz w:val="18"/>
                <w:szCs w:val="18"/>
              </w:rPr>
              <w:t>24</w:t>
            </w:r>
          </w:p>
        </w:tc>
        <w:tc>
          <w:tcPr>
            <w:tcW w:w="1201" w:type="dxa"/>
            <w:vMerge w:val="restart"/>
            <w:tcBorders>
              <w:top w:val="nil"/>
              <w:left w:val="single" w:sz="4" w:space="0" w:color="auto"/>
              <w:bottom w:val="single" w:sz="4" w:space="0" w:color="auto"/>
              <w:right w:val="nil"/>
            </w:tcBorders>
            <w:shd w:val="clear" w:color="auto" w:fill="auto"/>
            <w:noWrap/>
            <w:vAlign w:val="center"/>
            <w:hideMark/>
          </w:tcPr>
          <w:p w14:paraId="64F92CAC" w14:textId="77777777" w:rsidR="0026209F" w:rsidRPr="002B5EEA" w:rsidRDefault="0026209F" w:rsidP="004F6399">
            <w:pPr>
              <w:pStyle w:val="Tabletext"/>
              <w:jc w:val="center"/>
              <w:rPr>
                <w:sz w:val="18"/>
                <w:szCs w:val="18"/>
              </w:rPr>
            </w:pPr>
            <w:r w:rsidRPr="002B5EEA">
              <w:rPr>
                <w:sz w:val="18"/>
                <w:szCs w:val="18"/>
              </w:rPr>
              <w:t>467.5625</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339F65" w14:textId="77777777" w:rsidR="0026209F" w:rsidRPr="002B5EEA" w:rsidRDefault="0026209F" w:rsidP="004F6399">
            <w:pPr>
              <w:pStyle w:val="Tabletext"/>
              <w:jc w:val="center"/>
              <w:rPr>
                <w:sz w:val="18"/>
                <w:szCs w:val="18"/>
              </w:rPr>
            </w:pPr>
            <w:r w:rsidRPr="002B5EEA">
              <w:rPr>
                <w:sz w:val="18"/>
                <w:szCs w:val="18"/>
              </w:rPr>
              <w:t>241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76C886" w14:textId="77777777" w:rsidR="0026209F" w:rsidRPr="002B5EEA" w:rsidRDefault="0026209F" w:rsidP="004F6399">
            <w:pPr>
              <w:pStyle w:val="Tabletext"/>
              <w:jc w:val="center"/>
              <w:rPr>
                <w:sz w:val="18"/>
                <w:szCs w:val="18"/>
              </w:rPr>
            </w:pPr>
            <w:r w:rsidRPr="002B5EEA">
              <w:rPr>
                <w:sz w:val="18"/>
                <w:szCs w:val="18"/>
              </w:rPr>
              <w:t>467.559375</w:t>
            </w:r>
          </w:p>
        </w:tc>
      </w:tr>
      <w:tr w:rsidR="0026209F" w:rsidRPr="002B5EEA" w14:paraId="00DEA891"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4AF1F989"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3FFED1AA"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2DBE38E1"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7598EC92"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06B89F45"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73C2C1DA"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1193B359"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6A540737"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34A5B76D"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547AA065"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7F682DAF"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5AADA176"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21814B1" w14:textId="77777777" w:rsidR="0026209F" w:rsidRPr="002B5EEA" w:rsidRDefault="0026209F" w:rsidP="004F6399">
            <w:pPr>
              <w:pStyle w:val="Tabletext"/>
              <w:jc w:val="center"/>
              <w:rPr>
                <w:sz w:val="18"/>
                <w:szCs w:val="18"/>
              </w:rPr>
            </w:pPr>
          </w:p>
        </w:tc>
      </w:tr>
      <w:tr w:rsidR="0026209F" w:rsidRPr="002B5EEA" w14:paraId="663FA665" w14:textId="77777777" w:rsidTr="004F6399">
        <w:trPr>
          <w:trHeight w:val="199"/>
          <w:jc w:val="center"/>
        </w:trPr>
        <w:tc>
          <w:tcPr>
            <w:tcW w:w="52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F5631E" w14:textId="77777777" w:rsidR="0026209F" w:rsidRPr="002B5EEA" w:rsidRDefault="0026209F" w:rsidP="004F6399">
            <w:pPr>
              <w:pStyle w:val="Tabletext"/>
              <w:jc w:val="center"/>
              <w:rPr>
                <w:sz w:val="18"/>
                <w:szCs w:val="18"/>
              </w:rPr>
            </w:pPr>
            <w:r w:rsidRPr="002B5EEA">
              <w:rPr>
                <w:sz w:val="18"/>
                <w:szCs w:val="18"/>
              </w:rPr>
              <w:t>3</w:t>
            </w:r>
          </w:p>
        </w:tc>
        <w:tc>
          <w:tcPr>
            <w:tcW w:w="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868B0" w14:textId="77777777" w:rsidR="0026209F" w:rsidRPr="002B5EEA" w:rsidRDefault="0026209F" w:rsidP="004F6399">
            <w:pPr>
              <w:pStyle w:val="Tabletext"/>
              <w:jc w:val="center"/>
              <w:rPr>
                <w:sz w:val="18"/>
                <w:szCs w:val="18"/>
              </w:rPr>
            </w:pPr>
            <w:r w:rsidRPr="002B5EEA">
              <w:rPr>
                <w:sz w:val="18"/>
                <w:szCs w:val="18"/>
              </w:rPr>
              <w:t>457.575</w:t>
            </w: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070517CF"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696F1B04"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6C58D8" w14:textId="77777777" w:rsidR="0026209F" w:rsidRPr="002B5EEA" w:rsidRDefault="0026209F" w:rsidP="004F6399">
            <w:pPr>
              <w:pStyle w:val="Tabletext"/>
              <w:jc w:val="center"/>
              <w:rPr>
                <w:sz w:val="18"/>
                <w:szCs w:val="18"/>
              </w:rPr>
            </w:pPr>
            <w:r w:rsidRPr="002B5EEA">
              <w:rPr>
                <w:sz w:val="18"/>
                <w:szCs w:val="18"/>
              </w:rPr>
              <w:t>142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9941FD" w14:textId="77777777" w:rsidR="0026209F" w:rsidRPr="002B5EEA" w:rsidRDefault="0026209F" w:rsidP="004F6399">
            <w:pPr>
              <w:pStyle w:val="Tabletext"/>
              <w:jc w:val="center"/>
              <w:rPr>
                <w:sz w:val="18"/>
                <w:szCs w:val="18"/>
              </w:rPr>
            </w:pPr>
            <w:r w:rsidRPr="002B5EEA">
              <w:rPr>
                <w:sz w:val="18"/>
                <w:szCs w:val="18"/>
              </w:rPr>
              <w:t>457.565625</w:t>
            </w:r>
          </w:p>
        </w:tc>
        <w:tc>
          <w:tcPr>
            <w:tcW w:w="420" w:type="dxa"/>
            <w:shd w:val="clear" w:color="auto" w:fill="auto"/>
            <w:noWrap/>
            <w:vAlign w:val="bottom"/>
            <w:hideMark/>
          </w:tcPr>
          <w:p w14:paraId="438579DA"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A06C18" w14:textId="77777777" w:rsidR="0026209F" w:rsidRPr="002B5EEA" w:rsidRDefault="0026209F" w:rsidP="004F6399">
            <w:pPr>
              <w:pStyle w:val="Tabletext"/>
              <w:jc w:val="center"/>
              <w:rPr>
                <w:sz w:val="18"/>
                <w:szCs w:val="18"/>
              </w:rPr>
            </w:pPr>
            <w:r w:rsidRPr="002B5EEA">
              <w:rPr>
                <w:sz w:val="18"/>
                <w:szCs w:val="18"/>
              </w:rPr>
              <w:t>6</w:t>
            </w:r>
          </w:p>
        </w:tc>
        <w:tc>
          <w:tcPr>
            <w:tcW w:w="104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5FD500" w14:textId="77777777" w:rsidR="0026209F" w:rsidRPr="002B5EEA" w:rsidRDefault="0026209F" w:rsidP="004F6399">
            <w:pPr>
              <w:pStyle w:val="Tabletext"/>
              <w:jc w:val="center"/>
              <w:rPr>
                <w:sz w:val="18"/>
                <w:szCs w:val="18"/>
              </w:rPr>
            </w:pPr>
            <w:r w:rsidRPr="002B5EEA">
              <w:rPr>
                <w:sz w:val="18"/>
                <w:szCs w:val="18"/>
              </w:rPr>
              <w:t>467.575</w:t>
            </w: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6A7B1346"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0E9F6011"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35146A" w14:textId="77777777" w:rsidR="0026209F" w:rsidRPr="002B5EEA" w:rsidRDefault="0026209F" w:rsidP="004F6399">
            <w:pPr>
              <w:pStyle w:val="Tabletext"/>
              <w:jc w:val="center"/>
              <w:rPr>
                <w:sz w:val="18"/>
                <w:szCs w:val="18"/>
              </w:rPr>
            </w:pPr>
            <w:r w:rsidRPr="002B5EEA">
              <w:rPr>
                <w:sz w:val="18"/>
                <w:szCs w:val="18"/>
              </w:rPr>
              <w:t>242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5CEEBC" w14:textId="77777777" w:rsidR="0026209F" w:rsidRPr="002B5EEA" w:rsidRDefault="0026209F" w:rsidP="004F6399">
            <w:pPr>
              <w:pStyle w:val="Tabletext"/>
              <w:jc w:val="center"/>
              <w:rPr>
                <w:sz w:val="18"/>
                <w:szCs w:val="18"/>
              </w:rPr>
            </w:pPr>
            <w:r w:rsidRPr="002B5EEA">
              <w:rPr>
                <w:sz w:val="18"/>
                <w:szCs w:val="18"/>
              </w:rPr>
              <w:t>467.565625</w:t>
            </w:r>
          </w:p>
        </w:tc>
      </w:tr>
      <w:tr w:rsidR="0026209F" w:rsidRPr="002B5EEA" w14:paraId="04A08242"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32DF5386"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3C94058F"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15A61C8A"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20A18897"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7001D402"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112F31B0"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5A91E236"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29A01114"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7CBBEF79"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50DEF289"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140B5C19"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12D8D4E5"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236C164E" w14:textId="77777777" w:rsidR="0026209F" w:rsidRPr="002B5EEA" w:rsidRDefault="0026209F" w:rsidP="004F6399">
            <w:pPr>
              <w:pStyle w:val="Tabletext"/>
              <w:jc w:val="center"/>
              <w:rPr>
                <w:sz w:val="18"/>
                <w:szCs w:val="18"/>
              </w:rPr>
            </w:pPr>
          </w:p>
        </w:tc>
      </w:tr>
      <w:tr w:rsidR="0026209F" w:rsidRPr="002B5EEA" w14:paraId="1CCF4E00"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1CB1E23D"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6F4103D7"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3D4C76" w14:textId="77777777" w:rsidR="0026209F" w:rsidRPr="002B5EEA" w:rsidRDefault="0026209F" w:rsidP="004F6399">
            <w:pPr>
              <w:pStyle w:val="Tabletext"/>
              <w:jc w:val="center"/>
              <w:rPr>
                <w:sz w:val="18"/>
                <w:szCs w:val="18"/>
              </w:rPr>
            </w:pPr>
            <w:r w:rsidRPr="002B5EEA">
              <w:rPr>
                <w:sz w:val="18"/>
                <w:szCs w:val="18"/>
              </w:rPr>
              <w:t>15</w:t>
            </w:r>
          </w:p>
        </w:tc>
        <w:tc>
          <w:tcPr>
            <w:tcW w:w="1141" w:type="dxa"/>
            <w:vMerge w:val="restart"/>
            <w:tcBorders>
              <w:top w:val="nil"/>
              <w:left w:val="single" w:sz="4" w:space="0" w:color="auto"/>
              <w:bottom w:val="single" w:sz="4" w:space="0" w:color="auto"/>
              <w:right w:val="nil"/>
            </w:tcBorders>
            <w:shd w:val="clear" w:color="auto" w:fill="auto"/>
            <w:noWrap/>
            <w:vAlign w:val="center"/>
            <w:hideMark/>
          </w:tcPr>
          <w:p w14:paraId="46AB205C" w14:textId="77777777" w:rsidR="0026209F" w:rsidRPr="002B5EEA" w:rsidRDefault="0026209F" w:rsidP="004F6399">
            <w:pPr>
              <w:pStyle w:val="Tabletext"/>
              <w:jc w:val="center"/>
              <w:rPr>
                <w:sz w:val="18"/>
                <w:szCs w:val="18"/>
              </w:rPr>
            </w:pPr>
            <w:r w:rsidRPr="002B5EEA">
              <w:rPr>
                <w:sz w:val="18"/>
                <w:szCs w:val="18"/>
              </w:rPr>
              <w:t>457.5750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054CEE" w14:textId="77777777" w:rsidR="0026209F" w:rsidRPr="002B5EEA" w:rsidRDefault="0026209F" w:rsidP="004F6399">
            <w:pPr>
              <w:pStyle w:val="Tabletext"/>
              <w:jc w:val="center"/>
              <w:rPr>
                <w:sz w:val="18"/>
                <w:szCs w:val="18"/>
              </w:rPr>
            </w:pPr>
            <w:r w:rsidRPr="002B5EEA">
              <w:rPr>
                <w:sz w:val="18"/>
                <w:szCs w:val="18"/>
              </w:rPr>
              <w:t>151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650255" w14:textId="77777777" w:rsidR="0026209F" w:rsidRPr="002B5EEA" w:rsidRDefault="0026209F" w:rsidP="004F6399">
            <w:pPr>
              <w:pStyle w:val="Tabletext"/>
              <w:jc w:val="center"/>
              <w:rPr>
                <w:sz w:val="18"/>
                <w:szCs w:val="18"/>
              </w:rPr>
            </w:pPr>
            <w:r w:rsidRPr="002B5EEA">
              <w:rPr>
                <w:sz w:val="18"/>
                <w:szCs w:val="18"/>
              </w:rPr>
              <w:t>457.571875</w:t>
            </w:r>
          </w:p>
        </w:tc>
        <w:tc>
          <w:tcPr>
            <w:tcW w:w="420" w:type="dxa"/>
            <w:shd w:val="clear" w:color="auto" w:fill="auto"/>
            <w:noWrap/>
            <w:vAlign w:val="bottom"/>
            <w:hideMark/>
          </w:tcPr>
          <w:p w14:paraId="6A172F5F"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16814E12"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799CB3FF" w14:textId="77777777" w:rsidR="0026209F" w:rsidRPr="002B5EEA" w:rsidRDefault="0026209F" w:rsidP="004F6399">
            <w:pPr>
              <w:pStyle w:val="Tabletext"/>
              <w:jc w:val="center"/>
              <w:rPr>
                <w:sz w:val="18"/>
                <w:szCs w:val="18"/>
              </w:rPr>
            </w:pPr>
          </w:p>
        </w:tc>
        <w:tc>
          <w:tcPr>
            <w:tcW w:w="52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B224F7" w14:textId="77777777" w:rsidR="0026209F" w:rsidRPr="002B5EEA" w:rsidRDefault="0026209F" w:rsidP="004F6399">
            <w:pPr>
              <w:pStyle w:val="Tabletext"/>
              <w:jc w:val="center"/>
              <w:rPr>
                <w:sz w:val="18"/>
                <w:szCs w:val="18"/>
              </w:rPr>
            </w:pPr>
            <w:r w:rsidRPr="002B5EEA">
              <w:rPr>
                <w:sz w:val="18"/>
                <w:szCs w:val="18"/>
              </w:rPr>
              <w:t>25</w:t>
            </w:r>
          </w:p>
        </w:tc>
        <w:tc>
          <w:tcPr>
            <w:tcW w:w="1201" w:type="dxa"/>
            <w:vMerge w:val="restart"/>
            <w:tcBorders>
              <w:top w:val="nil"/>
              <w:left w:val="single" w:sz="4" w:space="0" w:color="auto"/>
              <w:bottom w:val="single" w:sz="4" w:space="0" w:color="auto"/>
              <w:right w:val="nil"/>
            </w:tcBorders>
            <w:shd w:val="clear" w:color="auto" w:fill="auto"/>
            <w:noWrap/>
            <w:vAlign w:val="center"/>
            <w:hideMark/>
          </w:tcPr>
          <w:p w14:paraId="4C40DDCA" w14:textId="77777777" w:rsidR="0026209F" w:rsidRPr="002B5EEA" w:rsidRDefault="0026209F" w:rsidP="004F6399">
            <w:pPr>
              <w:pStyle w:val="Tabletext"/>
              <w:jc w:val="center"/>
              <w:rPr>
                <w:sz w:val="18"/>
                <w:szCs w:val="18"/>
              </w:rPr>
            </w:pPr>
            <w:r w:rsidRPr="002B5EEA">
              <w:rPr>
                <w:sz w:val="18"/>
                <w:szCs w:val="18"/>
              </w:rPr>
              <w:t>467.5750</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8961DA" w14:textId="77777777" w:rsidR="0026209F" w:rsidRPr="002B5EEA" w:rsidRDefault="0026209F" w:rsidP="004F6399">
            <w:pPr>
              <w:pStyle w:val="Tabletext"/>
              <w:jc w:val="center"/>
              <w:rPr>
                <w:sz w:val="18"/>
                <w:szCs w:val="18"/>
              </w:rPr>
            </w:pPr>
            <w:r w:rsidRPr="002B5EEA">
              <w:rPr>
                <w:sz w:val="18"/>
                <w:szCs w:val="18"/>
              </w:rPr>
              <w:t>251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7BCF60" w14:textId="77777777" w:rsidR="0026209F" w:rsidRPr="002B5EEA" w:rsidRDefault="0026209F" w:rsidP="004F6399">
            <w:pPr>
              <w:pStyle w:val="Tabletext"/>
              <w:jc w:val="center"/>
              <w:rPr>
                <w:sz w:val="18"/>
                <w:szCs w:val="18"/>
              </w:rPr>
            </w:pPr>
            <w:r w:rsidRPr="002B5EEA">
              <w:rPr>
                <w:sz w:val="18"/>
                <w:szCs w:val="18"/>
              </w:rPr>
              <w:t>467.571875</w:t>
            </w:r>
          </w:p>
        </w:tc>
      </w:tr>
      <w:tr w:rsidR="0026209F" w:rsidRPr="002B5EEA" w14:paraId="75F8FB31"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7F00B59"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EF03BC3"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513166EE"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6F46900D"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01112987"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A72DB9D"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735FD905"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3F1588FE"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3835575C"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71652B27"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513562FD"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08236C70"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5203C713" w14:textId="77777777" w:rsidR="0026209F" w:rsidRPr="002B5EEA" w:rsidRDefault="0026209F" w:rsidP="004F6399">
            <w:pPr>
              <w:pStyle w:val="Tabletext"/>
              <w:jc w:val="center"/>
              <w:rPr>
                <w:sz w:val="18"/>
                <w:szCs w:val="18"/>
              </w:rPr>
            </w:pPr>
          </w:p>
        </w:tc>
      </w:tr>
      <w:tr w:rsidR="0026209F" w:rsidRPr="002B5EEA" w14:paraId="2557A066"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6BC97817"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2B10FCC6"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45BDF97E"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24192E24"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0BECF9" w14:textId="77777777" w:rsidR="0026209F" w:rsidRPr="002B5EEA" w:rsidRDefault="0026209F" w:rsidP="004F6399">
            <w:pPr>
              <w:pStyle w:val="Tabletext"/>
              <w:jc w:val="center"/>
              <w:rPr>
                <w:sz w:val="18"/>
                <w:szCs w:val="18"/>
              </w:rPr>
            </w:pPr>
            <w:r w:rsidRPr="002B5EEA">
              <w:rPr>
                <w:sz w:val="18"/>
                <w:szCs w:val="18"/>
              </w:rPr>
              <w:t>152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8EFAC0" w14:textId="77777777" w:rsidR="0026209F" w:rsidRPr="002B5EEA" w:rsidRDefault="0026209F" w:rsidP="004F6399">
            <w:pPr>
              <w:pStyle w:val="Tabletext"/>
              <w:jc w:val="center"/>
              <w:rPr>
                <w:sz w:val="18"/>
                <w:szCs w:val="18"/>
              </w:rPr>
            </w:pPr>
            <w:r w:rsidRPr="002B5EEA">
              <w:rPr>
                <w:sz w:val="18"/>
                <w:szCs w:val="18"/>
              </w:rPr>
              <w:t>457.578125</w:t>
            </w:r>
          </w:p>
        </w:tc>
        <w:tc>
          <w:tcPr>
            <w:tcW w:w="420" w:type="dxa"/>
            <w:shd w:val="clear" w:color="auto" w:fill="auto"/>
            <w:noWrap/>
            <w:vAlign w:val="bottom"/>
            <w:hideMark/>
          </w:tcPr>
          <w:p w14:paraId="39367FFA"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7AD866B2"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5AE8A270"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29AC928F"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5C7F32B1"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C899BA" w14:textId="77777777" w:rsidR="0026209F" w:rsidRPr="002B5EEA" w:rsidRDefault="0026209F" w:rsidP="004F6399">
            <w:pPr>
              <w:pStyle w:val="Tabletext"/>
              <w:jc w:val="center"/>
              <w:rPr>
                <w:sz w:val="18"/>
                <w:szCs w:val="18"/>
              </w:rPr>
            </w:pPr>
            <w:r w:rsidRPr="002B5EEA">
              <w:rPr>
                <w:sz w:val="18"/>
                <w:szCs w:val="18"/>
              </w:rPr>
              <w:t>252</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BE3DDA" w14:textId="77777777" w:rsidR="0026209F" w:rsidRPr="002B5EEA" w:rsidRDefault="0026209F" w:rsidP="004F6399">
            <w:pPr>
              <w:pStyle w:val="Tabletext"/>
              <w:jc w:val="center"/>
              <w:rPr>
                <w:sz w:val="18"/>
                <w:szCs w:val="18"/>
              </w:rPr>
            </w:pPr>
            <w:r w:rsidRPr="002B5EEA">
              <w:rPr>
                <w:sz w:val="18"/>
                <w:szCs w:val="18"/>
              </w:rPr>
              <w:t>467.578125</w:t>
            </w:r>
          </w:p>
        </w:tc>
      </w:tr>
      <w:tr w:rsidR="0026209F" w:rsidRPr="002B5EEA" w14:paraId="259C391E"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2DB1387B"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02D08ED8"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1604A4E0" w14:textId="77777777" w:rsidR="0026209F" w:rsidRPr="002B5EEA" w:rsidRDefault="0026209F" w:rsidP="004F6399">
            <w:pPr>
              <w:pStyle w:val="Tabletext"/>
              <w:jc w:val="center"/>
              <w:rPr>
                <w:sz w:val="18"/>
                <w:szCs w:val="18"/>
              </w:rPr>
            </w:pPr>
          </w:p>
        </w:tc>
        <w:tc>
          <w:tcPr>
            <w:tcW w:w="1141" w:type="dxa"/>
            <w:vMerge/>
            <w:tcBorders>
              <w:top w:val="nil"/>
              <w:left w:val="single" w:sz="4" w:space="0" w:color="auto"/>
              <w:bottom w:val="single" w:sz="4" w:space="0" w:color="auto"/>
              <w:right w:val="nil"/>
            </w:tcBorders>
            <w:shd w:val="clear" w:color="auto" w:fill="auto"/>
            <w:vAlign w:val="center"/>
            <w:hideMark/>
          </w:tcPr>
          <w:p w14:paraId="4B35E5E4"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6DC1355D"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28293350" w14:textId="77777777" w:rsidR="0026209F" w:rsidRPr="002B5EEA" w:rsidRDefault="0026209F" w:rsidP="004F6399">
            <w:pPr>
              <w:pStyle w:val="Tabletext"/>
              <w:jc w:val="center"/>
              <w:rPr>
                <w:sz w:val="18"/>
                <w:szCs w:val="18"/>
              </w:rPr>
            </w:pPr>
          </w:p>
        </w:tc>
        <w:tc>
          <w:tcPr>
            <w:tcW w:w="420" w:type="dxa"/>
            <w:shd w:val="clear" w:color="auto" w:fill="auto"/>
            <w:noWrap/>
            <w:vAlign w:val="bottom"/>
            <w:hideMark/>
          </w:tcPr>
          <w:p w14:paraId="4FA247B9"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1FA65EDF"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4C92629C"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000000"/>
              <w:right w:val="single" w:sz="4" w:space="0" w:color="auto"/>
            </w:tcBorders>
            <w:shd w:val="clear" w:color="auto" w:fill="auto"/>
            <w:vAlign w:val="center"/>
            <w:hideMark/>
          </w:tcPr>
          <w:p w14:paraId="26DDCD18" w14:textId="77777777" w:rsidR="0026209F" w:rsidRPr="002B5EEA" w:rsidRDefault="0026209F" w:rsidP="004F6399">
            <w:pPr>
              <w:pStyle w:val="Tabletext"/>
              <w:jc w:val="center"/>
              <w:rPr>
                <w:sz w:val="18"/>
                <w:szCs w:val="18"/>
              </w:rPr>
            </w:pPr>
          </w:p>
        </w:tc>
        <w:tc>
          <w:tcPr>
            <w:tcW w:w="1201" w:type="dxa"/>
            <w:vMerge/>
            <w:tcBorders>
              <w:top w:val="nil"/>
              <w:left w:val="single" w:sz="4" w:space="0" w:color="auto"/>
              <w:bottom w:val="single" w:sz="4" w:space="0" w:color="auto"/>
              <w:right w:val="nil"/>
            </w:tcBorders>
            <w:shd w:val="clear" w:color="auto" w:fill="auto"/>
            <w:vAlign w:val="center"/>
            <w:hideMark/>
          </w:tcPr>
          <w:p w14:paraId="2611E411" w14:textId="77777777" w:rsidR="0026209F" w:rsidRPr="002B5EEA" w:rsidRDefault="0026209F" w:rsidP="004F6399">
            <w:pPr>
              <w:pStyle w:val="Tabletext"/>
              <w:jc w:val="center"/>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17672B8E" w14:textId="77777777" w:rsidR="0026209F" w:rsidRPr="002B5EEA" w:rsidRDefault="0026209F" w:rsidP="004F6399">
            <w:pPr>
              <w:pStyle w:val="Tabletext"/>
              <w:jc w:val="center"/>
              <w:rPr>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6BFEB615" w14:textId="77777777" w:rsidR="0026209F" w:rsidRPr="002B5EEA" w:rsidRDefault="0026209F" w:rsidP="004F6399">
            <w:pPr>
              <w:pStyle w:val="Tabletext"/>
              <w:jc w:val="center"/>
              <w:rPr>
                <w:sz w:val="18"/>
                <w:szCs w:val="18"/>
              </w:rPr>
            </w:pPr>
          </w:p>
        </w:tc>
      </w:tr>
      <w:tr w:rsidR="0026209F" w:rsidRPr="002B5EEA" w14:paraId="35D56D3A"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7548068B" w14:textId="77777777" w:rsidR="0026209F" w:rsidRPr="002B5EEA" w:rsidRDefault="0026209F" w:rsidP="004F6399">
            <w:pPr>
              <w:pStyle w:val="Tabletext"/>
              <w:jc w:val="center"/>
              <w:rPr>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672FE9BF"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342729EA" w14:textId="77777777" w:rsidR="0026209F" w:rsidRPr="002B5EEA" w:rsidRDefault="0026209F" w:rsidP="004F6399">
            <w:pPr>
              <w:pStyle w:val="Tabletext"/>
              <w:jc w:val="center"/>
              <w:rPr>
                <w:sz w:val="18"/>
                <w:szCs w:val="18"/>
              </w:rPr>
            </w:pPr>
          </w:p>
        </w:tc>
        <w:tc>
          <w:tcPr>
            <w:tcW w:w="1141" w:type="dxa"/>
            <w:shd w:val="clear" w:color="auto" w:fill="auto"/>
            <w:noWrap/>
            <w:vAlign w:val="bottom"/>
            <w:hideMark/>
          </w:tcPr>
          <w:p w14:paraId="5D7FD491"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0AA15C" w14:textId="77777777" w:rsidR="0026209F" w:rsidRPr="002B5EEA" w:rsidRDefault="0026209F" w:rsidP="004F6399">
            <w:pPr>
              <w:pStyle w:val="Tabletext"/>
              <w:jc w:val="center"/>
              <w:rPr>
                <w:sz w:val="18"/>
                <w:szCs w:val="18"/>
              </w:rPr>
            </w:pPr>
            <w:r w:rsidRPr="002B5EEA">
              <w:rPr>
                <w:sz w:val="18"/>
                <w:szCs w:val="18"/>
              </w:rPr>
              <w:t>161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DD025E" w14:textId="77777777" w:rsidR="0026209F" w:rsidRPr="002B5EEA" w:rsidRDefault="0026209F" w:rsidP="004F6399">
            <w:pPr>
              <w:pStyle w:val="Tabletext"/>
              <w:jc w:val="center"/>
              <w:rPr>
                <w:sz w:val="18"/>
                <w:szCs w:val="18"/>
              </w:rPr>
            </w:pPr>
            <w:r w:rsidRPr="002B5EEA">
              <w:rPr>
                <w:sz w:val="18"/>
                <w:szCs w:val="18"/>
              </w:rPr>
              <w:t>457.584375</w:t>
            </w:r>
          </w:p>
        </w:tc>
        <w:tc>
          <w:tcPr>
            <w:tcW w:w="420" w:type="dxa"/>
            <w:shd w:val="clear" w:color="auto" w:fill="auto"/>
            <w:noWrap/>
            <w:vAlign w:val="bottom"/>
            <w:hideMark/>
          </w:tcPr>
          <w:p w14:paraId="4FB08F9D" w14:textId="77777777" w:rsidR="0026209F" w:rsidRPr="002B5EEA" w:rsidRDefault="0026209F" w:rsidP="004F6399">
            <w:pPr>
              <w:pStyle w:val="Tabletext"/>
              <w:jc w:val="center"/>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43824E1B" w14:textId="77777777" w:rsidR="0026209F" w:rsidRPr="002B5EEA" w:rsidRDefault="0026209F" w:rsidP="004F6399">
            <w:pPr>
              <w:pStyle w:val="Tabletext"/>
              <w:jc w:val="center"/>
              <w:rPr>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78FB3400" w14:textId="77777777" w:rsidR="0026209F" w:rsidRPr="002B5EEA" w:rsidRDefault="0026209F" w:rsidP="004F6399">
            <w:pPr>
              <w:pStyle w:val="Tabletext"/>
              <w:jc w:val="center"/>
              <w:rPr>
                <w:sz w:val="18"/>
                <w:szCs w:val="18"/>
              </w:rPr>
            </w:pPr>
          </w:p>
        </w:tc>
        <w:tc>
          <w:tcPr>
            <w:tcW w:w="528" w:type="dxa"/>
            <w:shd w:val="clear" w:color="auto" w:fill="auto"/>
            <w:noWrap/>
            <w:vAlign w:val="bottom"/>
            <w:hideMark/>
          </w:tcPr>
          <w:p w14:paraId="5806EE2B" w14:textId="77777777" w:rsidR="0026209F" w:rsidRPr="002B5EEA" w:rsidRDefault="0026209F" w:rsidP="004F6399">
            <w:pPr>
              <w:pStyle w:val="Tabletext"/>
              <w:jc w:val="center"/>
              <w:rPr>
                <w:sz w:val="18"/>
                <w:szCs w:val="18"/>
              </w:rPr>
            </w:pPr>
          </w:p>
        </w:tc>
        <w:tc>
          <w:tcPr>
            <w:tcW w:w="1201" w:type="dxa"/>
            <w:shd w:val="clear" w:color="auto" w:fill="auto"/>
            <w:noWrap/>
            <w:vAlign w:val="bottom"/>
            <w:hideMark/>
          </w:tcPr>
          <w:p w14:paraId="1CEBBF5D" w14:textId="77777777" w:rsidR="0026209F" w:rsidRPr="002B5EEA" w:rsidRDefault="0026209F" w:rsidP="004F6399">
            <w:pPr>
              <w:pStyle w:val="Tabletext"/>
              <w:jc w:val="center"/>
              <w:rPr>
                <w:sz w:val="18"/>
                <w:szCs w:val="18"/>
              </w:rPr>
            </w:pP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19212A" w14:textId="77777777" w:rsidR="0026209F" w:rsidRPr="002B5EEA" w:rsidRDefault="0026209F" w:rsidP="004F6399">
            <w:pPr>
              <w:pStyle w:val="Tabletext"/>
              <w:jc w:val="center"/>
              <w:rPr>
                <w:sz w:val="18"/>
                <w:szCs w:val="18"/>
              </w:rPr>
            </w:pPr>
            <w:r w:rsidRPr="002B5EEA">
              <w:rPr>
                <w:sz w:val="18"/>
                <w:szCs w:val="18"/>
              </w:rPr>
              <w:t>261</w:t>
            </w:r>
          </w:p>
        </w:tc>
        <w:tc>
          <w:tcPr>
            <w:tcW w:w="12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19FB96" w14:textId="77777777" w:rsidR="0026209F" w:rsidRPr="002B5EEA" w:rsidRDefault="0026209F" w:rsidP="004F6399">
            <w:pPr>
              <w:pStyle w:val="Tabletext"/>
              <w:jc w:val="center"/>
              <w:rPr>
                <w:sz w:val="18"/>
                <w:szCs w:val="18"/>
              </w:rPr>
            </w:pPr>
            <w:r w:rsidRPr="002B5EEA">
              <w:rPr>
                <w:sz w:val="18"/>
                <w:szCs w:val="18"/>
              </w:rPr>
              <w:t>467.584375</w:t>
            </w:r>
          </w:p>
        </w:tc>
      </w:tr>
      <w:tr w:rsidR="0026209F" w:rsidRPr="002B5EEA" w14:paraId="77F6CB40" w14:textId="77777777" w:rsidTr="004F6399">
        <w:trPr>
          <w:trHeight w:val="199"/>
          <w:jc w:val="center"/>
        </w:trPr>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7CC2BB3" w14:textId="77777777" w:rsidR="0026209F" w:rsidRPr="002B5EEA" w:rsidRDefault="0026209F" w:rsidP="004F6399">
            <w:pPr>
              <w:spacing w:before="40" w:after="40"/>
              <w:rPr>
                <w:color w:val="000000"/>
                <w:sz w:val="18"/>
                <w:szCs w:val="18"/>
              </w:rPr>
            </w:pPr>
          </w:p>
        </w:tc>
        <w:tc>
          <w:tcPr>
            <w:tcW w:w="985" w:type="dxa"/>
            <w:vMerge/>
            <w:tcBorders>
              <w:top w:val="nil"/>
              <w:left w:val="single" w:sz="4" w:space="0" w:color="auto"/>
              <w:bottom w:val="single" w:sz="4" w:space="0" w:color="auto"/>
              <w:right w:val="single" w:sz="4" w:space="0" w:color="auto"/>
            </w:tcBorders>
            <w:shd w:val="clear" w:color="auto" w:fill="auto"/>
            <w:vAlign w:val="center"/>
            <w:hideMark/>
          </w:tcPr>
          <w:p w14:paraId="4EB565DE" w14:textId="77777777" w:rsidR="0026209F" w:rsidRPr="002B5EEA" w:rsidRDefault="0026209F" w:rsidP="004F6399">
            <w:pPr>
              <w:spacing w:before="40" w:after="40"/>
              <w:rPr>
                <w:color w:val="000000"/>
                <w:sz w:val="18"/>
                <w:szCs w:val="18"/>
              </w:rPr>
            </w:pPr>
          </w:p>
        </w:tc>
        <w:tc>
          <w:tcPr>
            <w:tcW w:w="528" w:type="dxa"/>
            <w:shd w:val="clear" w:color="auto" w:fill="auto"/>
            <w:noWrap/>
            <w:vAlign w:val="bottom"/>
            <w:hideMark/>
          </w:tcPr>
          <w:p w14:paraId="2011C872" w14:textId="77777777" w:rsidR="0026209F" w:rsidRPr="002B5EEA" w:rsidRDefault="0026209F" w:rsidP="004F6399">
            <w:pPr>
              <w:spacing w:before="40" w:after="40" w:line="276" w:lineRule="auto"/>
              <w:rPr>
                <w:sz w:val="18"/>
                <w:szCs w:val="18"/>
              </w:rPr>
            </w:pPr>
          </w:p>
        </w:tc>
        <w:tc>
          <w:tcPr>
            <w:tcW w:w="1141" w:type="dxa"/>
            <w:shd w:val="clear" w:color="auto" w:fill="auto"/>
            <w:noWrap/>
            <w:vAlign w:val="bottom"/>
            <w:hideMark/>
          </w:tcPr>
          <w:p w14:paraId="65438C3D" w14:textId="77777777" w:rsidR="0026209F" w:rsidRPr="002B5EEA" w:rsidRDefault="0026209F" w:rsidP="004F6399">
            <w:pPr>
              <w:spacing w:before="40" w:after="40" w:line="276" w:lineRule="auto"/>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6B67DD4B" w14:textId="77777777" w:rsidR="0026209F" w:rsidRPr="002B5EEA" w:rsidRDefault="0026209F" w:rsidP="004F6399">
            <w:pPr>
              <w:spacing w:before="40" w:after="40"/>
              <w:rPr>
                <w:color w:val="000000"/>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0AA17DFC" w14:textId="77777777" w:rsidR="0026209F" w:rsidRPr="002B5EEA" w:rsidRDefault="0026209F" w:rsidP="004F6399">
            <w:pPr>
              <w:spacing w:before="40" w:after="40"/>
              <w:rPr>
                <w:color w:val="000000"/>
                <w:sz w:val="18"/>
                <w:szCs w:val="18"/>
              </w:rPr>
            </w:pPr>
          </w:p>
        </w:tc>
        <w:tc>
          <w:tcPr>
            <w:tcW w:w="420" w:type="dxa"/>
            <w:shd w:val="clear" w:color="auto" w:fill="auto"/>
            <w:noWrap/>
            <w:vAlign w:val="bottom"/>
            <w:hideMark/>
          </w:tcPr>
          <w:p w14:paraId="706AEA36" w14:textId="77777777" w:rsidR="0026209F" w:rsidRPr="002B5EEA" w:rsidRDefault="0026209F" w:rsidP="004F6399">
            <w:pPr>
              <w:spacing w:before="40" w:after="40" w:line="276" w:lineRule="auto"/>
              <w:rPr>
                <w:sz w:val="18"/>
                <w:szCs w:val="18"/>
              </w:rPr>
            </w:pPr>
          </w:p>
        </w:tc>
        <w:tc>
          <w:tcPr>
            <w:tcW w:w="528" w:type="dxa"/>
            <w:vMerge/>
            <w:tcBorders>
              <w:top w:val="nil"/>
              <w:left w:val="single" w:sz="4" w:space="0" w:color="auto"/>
              <w:bottom w:val="single" w:sz="4" w:space="0" w:color="auto"/>
              <w:right w:val="single" w:sz="4" w:space="0" w:color="auto"/>
            </w:tcBorders>
            <w:shd w:val="clear" w:color="auto" w:fill="auto"/>
            <w:vAlign w:val="center"/>
            <w:hideMark/>
          </w:tcPr>
          <w:p w14:paraId="50A80643" w14:textId="77777777" w:rsidR="0026209F" w:rsidRPr="002B5EEA" w:rsidRDefault="0026209F" w:rsidP="004F6399">
            <w:pPr>
              <w:spacing w:before="40" w:after="40"/>
              <w:rPr>
                <w:color w:val="000000"/>
                <w:sz w:val="18"/>
                <w:szCs w:val="18"/>
              </w:rPr>
            </w:pPr>
          </w:p>
        </w:tc>
        <w:tc>
          <w:tcPr>
            <w:tcW w:w="1045" w:type="dxa"/>
            <w:vMerge/>
            <w:tcBorders>
              <w:top w:val="nil"/>
              <w:left w:val="single" w:sz="4" w:space="0" w:color="auto"/>
              <w:bottom w:val="single" w:sz="4" w:space="0" w:color="auto"/>
              <w:right w:val="single" w:sz="4" w:space="0" w:color="auto"/>
            </w:tcBorders>
            <w:shd w:val="clear" w:color="auto" w:fill="auto"/>
            <w:vAlign w:val="center"/>
            <w:hideMark/>
          </w:tcPr>
          <w:p w14:paraId="590520DD" w14:textId="77777777" w:rsidR="0026209F" w:rsidRPr="002B5EEA" w:rsidRDefault="0026209F" w:rsidP="004F6399">
            <w:pPr>
              <w:spacing w:before="40" w:after="40"/>
              <w:rPr>
                <w:color w:val="000000"/>
                <w:sz w:val="18"/>
                <w:szCs w:val="18"/>
              </w:rPr>
            </w:pPr>
          </w:p>
        </w:tc>
        <w:tc>
          <w:tcPr>
            <w:tcW w:w="528" w:type="dxa"/>
            <w:shd w:val="clear" w:color="auto" w:fill="auto"/>
            <w:noWrap/>
            <w:vAlign w:val="bottom"/>
            <w:hideMark/>
          </w:tcPr>
          <w:p w14:paraId="34CAA709" w14:textId="77777777" w:rsidR="0026209F" w:rsidRPr="002B5EEA" w:rsidRDefault="0026209F" w:rsidP="004F6399">
            <w:pPr>
              <w:spacing w:before="40" w:after="40" w:line="276" w:lineRule="auto"/>
              <w:rPr>
                <w:sz w:val="18"/>
                <w:szCs w:val="18"/>
              </w:rPr>
            </w:pPr>
          </w:p>
        </w:tc>
        <w:tc>
          <w:tcPr>
            <w:tcW w:w="1201" w:type="dxa"/>
            <w:shd w:val="clear" w:color="auto" w:fill="auto"/>
            <w:noWrap/>
            <w:vAlign w:val="bottom"/>
            <w:hideMark/>
          </w:tcPr>
          <w:p w14:paraId="5D76DB8F" w14:textId="77777777" w:rsidR="0026209F" w:rsidRPr="002B5EEA" w:rsidRDefault="0026209F" w:rsidP="004F6399">
            <w:pPr>
              <w:spacing w:before="40" w:after="40" w:line="276" w:lineRule="auto"/>
              <w:rPr>
                <w:sz w:val="18"/>
                <w:szCs w:val="18"/>
              </w:rPr>
            </w:pPr>
          </w:p>
        </w:tc>
        <w:tc>
          <w:tcPr>
            <w:tcW w:w="546" w:type="dxa"/>
            <w:vMerge/>
            <w:tcBorders>
              <w:top w:val="nil"/>
              <w:left w:val="single" w:sz="4" w:space="0" w:color="auto"/>
              <w:bottom w:val="single" w:sz="4" w:space="0" w:color="auto"/>
              <w:right w:val="single" w:sz="4" w:space="0" w:color="auto"/>
            </w:tcBorders>
            <w:shd w:val="clear" w:color="auto" w:fill="auto"/>
            <w:vAlign w:val="center"/>
            <w:hideMark/>
          </w:tcPr>
          <w:p w14:paraId="33D1EE3E" w14:textId="77777777" w:rsidR="0026209F" w:rsidRPr="002B5EEA" w:rsidRDefault="0026209F" w:rsidP="004F6399">
            <w:pPr>
              <w:spacing w:before="40" w:after="40"/>
              <w:rPr>
                <w:color w:val="000000"/>
                <w:sz w:val="18"/>
                <w:szCs w:val="18"/>
              </w:rPr>
            </w:pPr>
          </w:p>
        </w:tc>
        <w:tc>
          <w:tcPr>
            <w:tcW w:w="1261" w:type="dxa"/>
            <w:vMerge/>
            <w:tcBorders>
              <w:top w:val="nil"/>
              <w:left w:val="single" w:sz="4" w:space="0" w:color="auto"/>
              <w:bottom w:val="single" w:sz="4" w:space="0" w:color="auto"/>
              <w:right w:val="single" w:sz="4" w:space="0" w:color="auto"/>
            </w:tcBorders>
            <w:shd w:val="clear" w:color="auto" w:fill="auto"/>
            <w:vAlign w:val="center"/>
            <w:hideMark/>
          </w:tcPr>
          <w:p w14:paraId="17AD8C94" w14:textId="77777777" w:rsidR="0026209F" w:rsidRPr="002B5EEA" w:rsidRDefault="0026209F" w:rsidP="004F6399">
            <w:pPr>
              <w:spacing w:before="40" w:after="40"/>
              <w:rPr>
                <w:color w:val="000000"/>
                <w:sz w:val="18"/>
                <w:szCs w:val="18"/>
              </w:rPr>
            </w:pPr>
          </w:p>
        </w:tc>
      </w:tr>
    </w:tbl>
    <w:p w14:paraId="51E04D03" w14:textId="77777777" w:rsidR="0026209F" w:rsidRPr="0026209F" w:rsidRDefault="0026209F" w:rsidP="0026209F">
      <w:pPr>
        <w:pStyle w:val="Note"/>
        <w:rPr>
          <w:lang w:val="en-GB" w:eastAsia="ja-JP"/>
        </w:rPr>
      </w:pPr>
      <w:r w:rsidRPr="0026209F">
        <w:rPr>
          <w:lang w:val="en-GB" w:eastAsia="ja-JP"/>
        </w:rPr>
        <w:t>NOTE – The repeater station should be used as pairs of lower channel and upper channel with frequency separation exactly 10 MHz (e.g. Ch. 2 and Ch. 5, Ch. 11 and Ch. 21).</w:t>
      </w:r>
    </w:p>
    <w:p w14:paraId="24F7422F" w14:textId="77777777" w:rsidR="0026209F" w:rsidRPr="0026209F" w:rsidRDefault="0026209F" w:rsidP="0026209F">
      <w:pPr>
        <w:rPr>
          <w:lang w:val="en-GB"/>
        </w:rPr>
      </w:pPr>
      <w:r w:rsidRPr="0026209F">
        <w:rPr>
          <w:lang w:val="en-GB"/>
        </w:rPr>
        <w:t>Interference from digital system to existing analogue system is concerned. Administrations are invited to consider the impact of analogue communication especially those operating lower channel.</w:t>
      </w:r>
    </w:p>
    <w:p w14:paraId="3CB2D399" w14:textId="77777777" w:rsidR="004D0F37" w:rsidRPr="0026209F" w:rsidRDefault="004D0F37" w:rsidP="004D0F37">
      <w:pPr>
        <w:rPr>
          <w:lang w:val="en-GB"/>
        </w:rPr>
      </w:pPr>
    </w:p>
    <w:p w14:paraId="336C7C35" w14:textId="77777777" w:rsidR="003213A9" w:rsidRPr="004D0F37" w:rsidRDefault="003213A9" w:rsidP="00FE1372">
      <w:pPr>
        <w:rPr>
          <w:lang w:val="en-US"/>
        </w:rPr>
      </w:pPr>
    </w:p>
    <w:p w14:paraId="63E5DF1C" w14:textId="77777777" w:rsidR="003213A9" w:rsidRDefault="003213A9" w:rsidP="001D65EF">
      <w:pPr>
        <w:pStyle w:val="Line"/>
      </w:pPr>
    </w:p>
    <w:sectPr w:rsidR="003213A9" w:rsidSect="0083184F">
      <w:headerReference w:type="even" r:id="rId8"/>
      <w:headerReference w:type="default" r:id="rId9"/>
      <w:headerReference w:type="first" r:id="rId10"/>
      <w:pgSz w:w="11907" w:h="16834" w:code="9"/>
      <w:pgMar w:top="1418" w:right="1134" w:bottom="1134" w:left="1134" w:header="720" w:footer="482"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A8D16" w14:textId="77777777" w:rsidR="007913D0" w:rsidRDefault="007913D0">
      <w:r>
        <w:separator/>
      </w:r>
    </w:p>
  </w:endnote>
  <w:endnote w:type="continuationSeparator" w:id="0">
    <w:p w14:paraId="4004D15A" w14:textId="77777777" w:rsidR="007913D0" w:rsidRDefault="0079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D178F" w14:textId="77777777" w:rsidR="007913D0" w:rsidRDefault="007913D0">
      <w:r>
        <w:separator/>
      </w:r>
    </w:p>
  </w:footnote>
  <w:footnote w:type="continuationSeparator" w:id="0">
    <w:p w14:paraId="2362B4C4" w14:textId="77777777" w:rsidR="007913D0" w:rsidRDefault="007913D0">
      <w:r>
        <w:continuationSeparator/>
      </w:r>
    </w:p>
  </w:footnote>
  <w:footnote w:id="1">
    <w:p w14:paraId="5162A1D8" w14:textId="77777777" w:rsidR="00335982" w:rsidRPr="00335982" w:rsidRDefault="00335982">
      <w:pPr>
        <w:pStyle w:val="FootnoteText"/>
        <w:rPr>
          <w:lang w:val="en-GB"/>
        </w:rPr>
      </w:pPr>
      <w:r w:rsidRPr="00335982">
        <w:rPr>
          <w:rStyle w:val="FootnoteReference"/>
          <w:lang w:val="en-GB"/>
        </w:rPr>
        <w:t>*</w:t>
      </w:r>
      <w:r w:rsidRPr="00335982">
        <w:rPr>
          <w:lang w:val="en-GB"/>
        </w:rPr>
        <w:t xml:space="preserve"> </w:t>
      </w:r>
      <w:r w:rsidRPr="00335982">
        <w:rPr>
          <w:lang w:val="en-GB"/>
        </w:rPr>
        <w:tab/>
      </w:r>
      <w:r w:rsidRPr="00335982">
        <w:rPr>
          <w:lang w:val="en-US"/>
        </w:rPr>
        <w:t>This Recommendation should be brought to the attention of the International Maritime Organization and the International Maritime Radio Committee.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3FB0D" w14:textId="5BF9CBC9" w:rsidR="007913D0" w:rsidRPr="00FC42AF" w:rsidRDefault="007913D0" w:rsidP="007913D0">
    <w:pPr>
      <w:tabs>
        <w:tab w:val="clear" w:pos="794"/>
        <w:tab w:val="clear" w:pos="1191"/>
        <w:tab w:val="clear" w:pos="1588"/>
        <w:tab w:val="clear" w:pos="1985"/>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E85F4F">
      <w:rPr>
        <w:rStyle w:val="PageNumber"/>
        <w:b/>
        <w:bCs/>
        <w:noProof/>
      </w:rPr>
      <w:t>2</w:t>
    </w:r>
    <w:r>
      <w:rPr>
        <w:rStyle w:val="PageNumber"/>
        <w:b/>
        <w:bCs/>
      </w:rPr>
      <w:fldChar w:fldCharType="end"/>
    </w:r>
    <w:r w:rsidRPr="00FC42AF">
      <w:tab/>
    </w:r>
    <w:r w:rsidR="0049398E">
      <w:rPr>
        <w:b/>
        <w:bCs/>
      </w:rPr>
      <w:fldChar w:fldCharType="begin"/>
    </w:r>
    <w:r w:rsidR="0049398E">
      <w:rPr>
        <w:b/>
        <w:bCs/>
      </w:rPr>
      <w:instrText xml:space="preserve"> DOCPROPERTY "Header" \* MERGEFORMAT </w:instrText>
    </w:r>
    <w:r w:rsidR="0049398E">
      <w:rPr>
        <w:b/>
        <w:bCs/>
      </w:rPr>
      <w:fldChar w:fldCharType="separate"/>
    </w:r>
    <w:r w:rsidR="00072282">
      <w:rPr>
        <w:b/>
        <w:bCs/>
      </w:rPr>
      <w:t xml:space="preserve">Rec. </w:t>
    </w:r>
    <w:r w:rsidR="0049398E">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072282">
      <w:rPr>
        <w:b/>
        <w:bCs/>
        <w:noProof/>
      </w:rPr>
      <w:t>ITU-R  M.1174-4</w:t>
    </w:r>
    <w:r>
      <w:rPr>
        <w:b/>
        <w:bCs/>
      </w:rPr>
      <w:fldChar w:fldCharType="end"/>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3D0FD" w14:textId="3BE860BF" w:rsidR="007913D0" w:rsidRPr="00FC42AF" w:rsidRDefault="007913D0" w:rsidP="007913D0">
    <w:pPr>
      <w:tabs>
        <w:tab w:val="clear" w:pos="794"/>
        <w:tab w:val="clear" w:pos="1191"/>
        <w:tab w:val="clear" w:pos="1588"/>
        <w:tab w:val="clear" w:pos="1985"/>
        <w:tab w:val="center" w:pos="4848"/>
        <w:tab w:val="center" w:pos="9696"/>
      </w:tabs>
      <w:jc w:val="left"/>
    </w:pPr>
    <w:r w:rsidRPr="00FC42AF">
      <w:tab/>
    </w:r>
    <w:r w:rsidR="0049398E">
      <w:rPr>
        <w:b/>
        <w:bCs/>
      </w:rPr>
      <w:fldChar w:fldCharType="begin"/>
    </w:r>
    <w:r w:rsidR="0049398E">
      <w:rPr>
        <w:b/>
        <w:bCs/>
      </w:rPr>
      <w:instrText xml:space="preserve"> DOCPROPERTY "Header" \* MERGEFORMAT </w:instrText>
    </w:r>
    <w:r w:rsidR="0049398E">
      <w:rPr>
        <w:b/>
        <w:bCs/>
      </w:rPr>
      <w:fldChar w:fldCharType="separate"/>
    </w:r>
    <w:r w:rsidR="00072282">
      <w:rPr>
        <w:b/>
        <w:bCs/>
      </w:rPr>
      <w:t xml:space="preserve">Rec. </w:t>
    </w:r>
    <w:r w:rsidR="0049398E">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072282">
      <w:rPr>
        <w:b/>
        <w:bCs/>
        <w:noProof/>
      </w:rPr>
      <w:t>ITU-R  M.1174-4</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E85F4F">
      <w:rPr>
        <w:rStyle w:val="PageNumber"/>
        <w:b/>
        <w:bCs/>
        <w:noProof/>
      </w:rPr>
      <w:t>3</w:t>
    </w:r>
    <w:r>
      <w:rPr>
        <w:rStyle w:val="PageNumbe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CEBC0" w14:textId="571729C6" w:rsidR="00E900E6" w:rsidRDefault="00E900E6" w:rsidP="00E900E6">
    <w:pPr>
      <w:tabs>
        <w:tab w:val="clear" w:pos="794"/>
        <w:tab w:val="clear" w:pos="1191"/>
        <w:tab w:val="clear" w:pos="1588"/>
        <w:tab w:val="clear" w:pos="1985"/>
        <w:tab w:val="center" w:pos="4848"/>
        <w:tab w:val="center" w:pos="9696"/>
      </w:tabs>
      <w:jc w:val="left"/>
    </w:pPr>
    <w:r w:rsidRPr="00FC42AF">
      <w:tab/>
    </w:r>
    <w:r>
      <w:rPr>
        <w:b/>
        <w:bCs/>
      </w:rPr>
      <w:fldChar w:fldCharType="begin"/>
    </w:r>
    <w:r>
      <w:rPr>
        <w:b/>
        <w:bCs/>
      </w:rPr>
      <w:instrText xml:space="preserve"> DOCPROPERTY "Header" \* MERGEFORMAT </w:instrText>
    </w:r>
    <w:r>
      <w:rPr>
        <w:b/>
        <w:bCs/>
      </w:rPr>
      <w:fldChar w:fldCharType="separate"/>
    </w:r>
    <w:r w:rsidR="00072282">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072282">
      <w:rPr>
        <w:b/>
        <w:bCs/>
        <w:noProof/>
      </w:rPr>
      <w:t>ITU-R  M.1174-4</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rPr>
      <w:t>3</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0"/>
  <w:activeWritingStyle w:appName="MSWord" w:lang="fr-F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54273">
      <o:colormru v:ext="edit" colors="#d62a47"/>
      <o:colormenu v:ext="edit" strokecolor="#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D7"/>
    <w:rsid w:val="00005041"/>
    <w:rsid w:val="00013002"/>
    <w:rsid w:val="0001540A"/>
    <w:rsid w:val="00036EE3"/>
    <w:rsid w:val="00052F66"/>
    <w:rsid w:val="00072282"/>
    <w:rsid w:val="00072484"/>
    <w:rsid w:val="00096612"/>
    <w:rsid w:val="000A4386"/>
    <w:rsid w:val="000A4786"/>
    <w:rsid w:val="000B4249"/>
    <w:rsid w:val="000B7683"/>
    <w:rsid w:val="000D0677"/>
    <w:rsid w:val="000D2FA8"/>
    <w:rsid w:val="000E2A81"/>
    <w:rsid w:val="000E6A6E"/>
    <w:rsid w:val="00102934"/>
    <w:rsid w:val="00107791"/>
    <w:rsid w:val="00140CA5"/>
    <w:rsid w:val="001415B3"/>
    <w:rsid w:val="00147110"/>
    <w:rsid w:val="001511A6"/>
    <w:rsid w:val="001A4594"/>
    <w:rsid w:val="001D65EF"/>
    <w:rsid w:val="001D7190"/>
    <w:rsid w:val="002058CE"/>
    <w:rsid w:val="002165F1"/>
    <w:rsid w:val="002572B3"/>
    <w:rsid w:val="0026209F"/>
    <w:rsid w:val="002644BF"/>
    <w:rsid w:val="00272E02"/>
    <w:rsid w:val="00276D21"/>
    <w:rsid w:val="00291F7A"/>
    <w:rsid w:val="00296D7F"/>
    <w:rsid w:val="002A4CFC"/>
    <w:rsid w:val="002B3CF6"/>
    <w:rsid w:val="002C6A10"/>
    <w:rsid w:val="002C768A"/>
    <w:rsid w:val="002D76C4"/>
    <w:rsid w:val="002F06BF"/>
    <w:rsid w:val="002F5199"/>
    <w:rsid w:val="003213A9"/>
    <w:rsid w:val="00333892"/>
    <w:rsid w:val="00335982"/>
    <w:rsid w:val="00356B5D"/>
    <w:rsid w:val="00375D1A"/>
    <w:rsid w:val="003806D1"/>
    <w:rsid w:val="003B0A33"/>
    <w:rsid w:val="003E1DED"/>
    <w:rsid w:val="0041667C"/>
    <w:rsid w:val="00420DFD"/>
    <w:rsid w:val="004220E0"/>
    <w:rsid w:val="00437A76"/>
    <w:rsid w:val="00470E28"/>
    <w:rsid w:val="00470FEC"/>
    <w:rsid w:val="004765E1"/>
    <w:rsid w:val="004777D5"/>
    <w:rsid w:val="004934C5"/>
    <w:rsid w:val="0049398E"/>
    <w:rsid w:val="004D0F37"/>
    <w:rsid w:val="004D7632"/>
    <w:rsid w:val="004E0FB1"/>
    <w:rsid w:val="004F65E4"/>
    <w:rsid w:val="00505282"/>
    <w:rsid w:val="00525CB2"/>
    <w:rsid w:val="00554C61"/>
    <w:rsid w:val="00556548"/>
    <w:rsid w:val="00563597"/>
    <w:rsid w:val="00584546"/>
    <w:rsid w:val="00586EF8"/>
    <w:rsid w:val="005B49AB"/>
    <w:rsid w:val="005B50E7"/>
    <w:rsid w:val="005D0454"/>
    <w:rsid w:val="005D329E"/>
    <w:rsid w:val="005E7B4F"/>
    <w:rsid w:val="006003F5"/>
    <w:rsid w:val="00601882"/>
    <w:rsid w:val="00607D68"/>
    <w:rsid w:val="00613212"/>
    <w:rsid w:val="006149B1"/>
    <w:rsid w:val="0062532A"/>
    <w:rsid w:val="006667CD"/>
    <w:rsid w:val="00680D2B"/>
    <w:rsid w:val="00681B32"/>
    <w:rsid w:val="0069288B"/>
    <w:rsid w:val="006A135E"/>
    <w:rsid w:val="006B1D2B"/>
    <w:rsid w:val="006D4393"/>
    <w:rsid w:val="006E1131"/>
    <w:rsid w:val="006E2037"/>
    <w:rsid w:val="006E6199"/>
    <w:rsid w:val="00701275"/>
    <w:rsid w:val="00712870"/>
    <w:rsid w:val="00743D85"/>
    <w:rsid w:val="00753CF4"/>
    <w:rsid w:val="007565CC"/>
    <w:rsid w:val="00763B9A"/>
    <w:rsid w:val="00770866"/>
    <w:rsid w:val="007913D0"/>
    <w:rsid w:val="00794726"/>
    <w:rsid w:val="007A6AA8"/>
    <w:rsid w:val="007D224F"/>
    <w:rsid w:val="007E0CCD"/>
    <w:rsid w:val="00817790"/>
    <w:rsid w:val="008310C9"/>
    <w:rsid w:val="0083184F"/>
    <w:rsid w:val="00845008"/>
    <w:rsid w:val="00853CC5"/>
    <w:rsid w:val="008B17E0"/>
    <w:rsid w:val="008C7848"/>
    <w:rsid w:val="00906589"/>
    <w:rsid w:val="00906AD6"/>
    <w:rsid w:val="00917AF2"/>
    <w:rsid w:val="0092418A"/>
    <w:rsid w:val="00934ED7"/>
    <w:rsid w:val="009543C3"/>
    <w:rsid w:val="00966E1B"/>
    <w:rsid w:val="00977866"/>
    <w:rsid w:val="009947C0"/>
    <w:rsid w:val="009A0301"/>
    <w:rsid w:val="009F2D2C"/>
    <w:rsid w:val="00A31928"/>
    <w:rsid w:val="00A62A14"/>
    <w:rsid w:val="00A6617B"/>
    <w:rsid w:val="00A67F37"/>
    <w:rsid w:val="00A71FE5"/>
    <w:rsid w:val="00A971A1"/>
    <w:rsid w:val="00AA3AD8"/>
    <w:rsid w:val="00AB0DC8"/>
    <w:rsid w:val="00B033C8"/>
    <w:rsid w:val="00B0646C"/>
    <w:rsid w:val="00B07DF0"/>
    <w:rsid w:val="00B33425"/>
    <w:rsid w:val="00B33CA9"/>
    <w:rsid w:val="00B44E24"/>
    <w:rsid w:val="00B53EBC"/>
    <w:rsid w:val="00B54ECC"/>
    <w:rsid w:val="00B70E81"/>
    <w:rsid w:val="00B714F3"/>
    <w:rsid w:val="00B87B6B"/>
    <w:rsid w:val="00BC5D77"/>
    <w:rsid w:val="00BE262F"/>
    <w:rsid w:val="00BF487A"/>
    <w:rsid w:val="00C44EEB"/>
    <w:rsid w:val="00C46BD9"/>
    <w:rsid w:val="00C55258"/>
    <w:rsid w:val="00C73560"/>
    <w:rsid w:val="00C81231"/>
    <w:rsid w:val="00CB0F14"/>
    <w:rsid w:val="00CD659B"/>
    <w:rsid w:val="00CE0A43"/>
    <w:rsid w:val="00CF3E40"/>
    <w:rsid w:val="00D3212F"/>
    <w:rsid w:val="00D46688"/>
    <w:rsid w:val="00D83556"/>
    <w:rsid w:val="00DC35B8"/>
    <w:rsid w:val="00DC54A5"/>
    <w:rsid w:val="00DF4176"/>
    <w:rsid w:val="00E17240"/>
    <w:rsid w:val="00E406BD"/>
    <w:rsid w:val="00E5619D"/>
    <w:rsid w:val="00E74595"/>
    <w:rsid w:val="00E85F4F"/>
    <w:rsid w:val="00E900E6"/>
    <w:rsid w:val="00EA015F"/>
    <w:rsid w:val="00EB786E"/>
    <w:rsid w:val="00EB7C57"/>
    <w:rsid w:val="00ED2695"/>
    <w:rsid w:val="00ED2EBB"/>
    <w:rsid w:val="00F0712C"/>
    <w:rsid w:val="00F30C9B"/>
    <w:rsid w:val="00F354B1"/>
    <w:rsid w:val="00F73E83"/>
    <w:rsid w:val="00F93419"/>
    <w:rsid w:val="00FB0E4E"/>
    <w:rsid w:val="00FC42AF"/>
    <w:rsid w:val="00FD15CF"/>
    <w:rsid w:val="00FE0D33"/>
    <w:rsid w:val="00FE1372"/>
    <w:rsid w:val="00FE1D1B"/>
    <w:rsid w:val="00FE7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colormru v:ext="edit" colors="#d62a47"/>
      <o:colormenu v:ext="edit" strokecolor="#d62a47"/>
    </o:shapedefaults>
    <o:shapelayout v:ext="edit">
      <o:idmap v:ext="edit" data="1"/>
    </o:shapelayout>
  </w:shapeDefaults>
  <w:decimalSymbol w:val="."/>
  <w:listSeparator w:val=","/>
  <w14:docId w14:val="3BB2CD8E"/>
  <w15:docId w15:val="{079B058B-1E11-4105-8D01-77B9C7EB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65E1"/>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5D329E"/>
    <w:pPr>
      <w:keepNext/>
      <w:keepLines/>
      <w:spacing w:before="480"/>
      <w:ind w:left="794" w:hanging="794"/>
      <w:outlineLvl w:val="0"/>
    </w:pPr>
    <w:rPr>
      <w:b/>
    </w:rPr>
  </w:style>
  <w:style w:type="paragraph" w:styleId="Heading2">
    <w:name w:val="heading 2"/>
    <w:basedOn w:val="Heading1"/>
    <w:next w:val="Normal"/>
    <w:qFormat/>
    <w:rsid w:val="005D329E"/>
    <w:pPr>
      <w:spacing w:before="320"/>
      <w:outlineLvl w:val="1"/>
    </w:pPr>
  </w:style>
  <w:style w:type="paragraph" w:styleId="Heading3">
    <w:name w:val="heading 3"/>
    <w:basedOn w:val="Heading1"/>
    <w:next w:val="Normal"/>
    <w:qFormat/>
    <w:rsid w:val="005D329E"/>
    <w:pPr>
      <w:spacing w:before="200"/>
      <w:outlineLvl w:val="2"/>
    </w:pPr>
  </w:style>
  <w:style w:type="paragraph" w:styleId="Heading4">
    <w:name w:val="heading 4"/>
    <w:basedOn w:val="Heading3"/>
    <w:next w:val="Normal"/>
    <w:qFormat/>
    <w:rsid w:val="005D329E"/>
    <w:pPr>
      <w:tabs>
        <w:tab w:val="clear" w:pos="794"/>
        <w:tab w:val="left" w:pos="992"/>
      </w:tabs>
      <w:ind w:left="992" w:hanging="992"/>
      <w:outlineLvl w:val="3"/>
    </w:pPr>
  </w:style>
  <w:style w:type="paragraph" w:styleId="Heading5">
    <w:name w:val="heading 5"/>
    <w:basedOn w:val="Heading4"/>
    <w:next w:val="Normal"/>
    <w:qFormat/>
    <w:rsid w:val="005D329E"/>
    <w:pPr>
      <w:outlineLvl w:val="4"/>
    </w:pPr>
  </w:style>
  <w:style w:type="paragraph" w:styleId="Heading6">
    <w:name w:val="heading 6"/>
    <w:basedOn w:val="Heading4"/>
    <w:next w:val="Normal"/>
    <w:qFormat/>
    <w:rsid w:val="005D329E"/>
    <w:pPr>
      <w:tabs>
        <w:tab w:val="clear" w:pos="992"/>
        <w:tab w:val="clear" w:pos="1191"/>
      </w:tabs>
      <w:ind w:left="1588" w:hanging="1588"/>
      <w:outlineLvl w:val="5"/>
    </w:pPr>
  </w:style>
  <w:style w:type="paragraph" w:styleId="Heading7">
    <w:name w:val="heading 7"/>
    <w:basedOn w:val="Heading6"/>
    <w:next w:val="Normal"/>
    <w:qFormat/>
    <w:rsid w:val="005D329E"/>
    <w:pPr>
      <w:outlineLvl w:val="6"/>
    </w:pPr>
  </w:style>
  <w:style w:type="paragraph" w:styleId="Heading8">
    <w:name w:val="heading 8"/>
    <w:basedOn w:val="Heading6"/>
    <w:next w:val="Normal"/>
    <w:qFormat/>
    <w:rsid w:val="005D329E"/>
    <w:pPr>
      <w:outlineLvl w:val="7"/>
    </w:pPr>
  </w:style>
  <w:style w:type="paragraph" w:styleId="Heading9">
    <w:name w:val="heading 9"/>
    <w:basedOn w:val="Heading6"/>
    <w:next w:val="Normal"/>
    <w:qFormat/>
    <w:rsid w:val="005D329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5D329E"/>
  </w:style>
  <w:style w:type="paragraph" w:customStyle="1" w:styleId="Headingb">
    <w:name w:val="Heading_b"/>
    <w:basedOn w:val="Heading3"/>
    <w:next w:val="Normal"/>
    <w:link w:val="HeadingbChar"/>
    <w:qFormat/>
    <w:rsid w:val="005D329E"/>
    <w:pPr>
      <w:spacing w:before="160"/>
      <w:ind w:left="0" w:firstLine="0"/>
      <w:outlineLvl w:val="9"/>
    </w:pPr>
  </w:style>
  <w:style w:type="character" w:customStyle="1" w:styleId="HeadingbChar">
    <w:name w:val="Heading_b Char"/>
    <w:basedOn w:val="DefaultParagraphFont"/>
    <w:link w:val="Headingb"/>
    <w:uiPriority w:val="99"/>
    <w:locked/>
    <w:rsid w:val="00052F66"/>
    <w:rPr>
      <w:b/>
      <w:sz w:val="24"/>
      <w:lang w:val="fr-FR" w:eastAsia="en-US"/>
    </w:rPr>
  </w:style>
  <w:style w:type="paragraph" w:customStyle="1" w:styleId="Headingi">
    <w:name w:val="Heading_i"/>
    <w:basedOn w:val="Heading3"/>
    <w:next w:val="Normal"/>
    <w:rsid w:val="005D329E"/>
    <w:pPr>
      <w:spacing w:before="160"/>
      <w:ind w:left="0" w:firstLine="0"/>
    </w:pPr>
    <w:rPr>
      <w:b w:val="0"/>
      <w:i/>
    </w:rPr>
  </w:style>
  <w:style w:type="character" w:customStyle="1" w:styleId="href">
    <w:name w:val="href"/>
    <w:basedOn w:val="DefaultParagraphFont"/>
    <w:rsid w:val="005D329E"/>
  </w:style>
  <w:style w:type="paragraph" w:customStyle="1" w:styleId="AnnexNoTitle">
    <w:name w:val="Annex_NoTitle"/>
    <w:basedOn w:val="Normal"/>
    <w:next w:val="Normalaftertitle"/>
    <w:rsid w:val="008B17E0"/>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5D329E"/>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5D329E"/>
    <w:pPr>
      <w:ind w:left="1191" w:hanging="397"/>
    </w:pPr>
  </w:style>
  <w:style w:type="paragraph" w:customStyle="1" w:styleId="enumlev1">
    <w:name w:val="enumlev1"/>
    <w:basedOn w:val="Normal"/>
    <w:link w:val="enumlev1Char"/>
    <w:rsid w:val="005D329E"/>
    <w:pPr>
      <w:spacing w:before="80"/>
      <w:ind w:left="794" w:hanging="794"/>
    </w:pPr>
  </w:style>
  <w:style w:type="paragraph" w:customStyle="1" w:styleId="enumlev3">
    <w:name w:val="enumlev3"/>
    <w:basedOn w:val="enumlev2"/>
    <w:rsid w:val="005D329E"/>
    <w:pPr>
      <w:ind w:left="1588"/>
    </w:pPr>
  </w:style>
  <w:style w:type="paragraph" w:customStyle="1" w:styleId="Note">
    <w:name w:val="Note"/>
    <w:basedOn w:val="Normal"/>
    <w:rsid w:val="005D329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5D329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5D329E"/>
    <w:pPr>
      <w:keepNext/>
      <w:keepLines/>
      <w:spacing w:before="240"/>
      <w:jc w:val="center"/>
    </w:pPr>
    <w:rPr>
      <w:b/>
      <w:sz w:val="28"/>
    </w:rPr>
  </w:style>
  <w:style w:type="paragraph" w:customStyle="1" w:styleId="Recref">
    <w:name w:val="Rec_ref"/>
    <w:basedOn w:val="Normal"/>
    <w:next w:val="Recdate"/>
    <w:rsid w:val="005D329E"/>
    <w:pPr>
      <w:jc w:val="center"/>
    </w:pPr>
  </w:style>
  <w:style w:type="paragraph" w:customStyle="1" w:styleId="Recdate">
    <w:name w:val="Rec_date"/>
    <w:basedOn w:val="Recref"/>
    <w:next w:val="Normalaftertitle"/>
    <w:rsid w:val="005D329E"/>
    <w:pPr>
      <w:jc w:val="right"/>
    </w:pPr>
  </w:style>
  <w:style w:type="paragraph" w:customStyle="1" w:styleId="HeadingSum">
    <w:name w:val="Heading_Sum"/>
    <w:basedOn w:val="Headingb"/>
    <w:next w:val="Normal"/>
    <w:autoRedefine/>
    <w:rsid w:val="005D329E"/>
    <w:pPr>
      <w:spacing w:before="240"/>
    </w:pPr>
    <w:rPr>
      <w:sz w:val="22"/>
      <w:lang w:val="es-ES_tradnl"/>
    </w:rPr>
  </w:style>
  <w:style w:type="paragraph" w:customStyle="1" w:styleId="AppendixNoTitle">
    <w:name w:val="Appendix_NoTitle"/>
    <w:basedOn w:val="AnnexNoTitle"/>
    <w:next w:val="Normal"/>
    <w:rsid w:val="005D329E"/>
  </w:style>
  <w:style w:type="paragraph" w:customStyle="1" w:styleId="Tablefin">
    <w:name w:val="Table_fin"/>
    <w:basedOn w:val="Normal"/>
    <w:next w:val="Normal"/>
    <w:rsid w:val="005D329E"/>
    <w:pPr>
      <w:spacing w:before="0"/>
    </w:pPr>
    <w:rPr>
      <w:sz w:val="20"/>
      <w:lang w:val="en-GB"/>
    </w:rPr>
  </w:style>
  <w:style w:type="paragraph" w:customStyle="1" w:styleId="Tablehead">
    <w:name w:val="Table_head"/>
    <w:basedOn w:val="Normal"/>
    <w:next w:val="Normal"/>
    <w:link w:val="TableheadChar"/>
    <w:rsid w:val="005D329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5D329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5D329E"/>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5D329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5D329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5D329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5D329E"/>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5D329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5D329E"/>
    <w:pPr>
      <w:keepNext/>
      <w:keepLines/>
      <w:spacing w:before="480" w:after="80"/>
      <w:jc w:val="center"/>
    </w:pPr>
    <w:rPr>
      <w:caps/>
      <w:sz w:val="18"/>
    </w:rPr>
  </w:style>
  <w:style w:type="paragraph" w:customStyle="1" w:styleId="Figuretitle">
    <w:name w:val="Figure_title"/>
    <w:basedOn w:val="Normal"/>
    <w:next w:val="Figure"/>
    <w:link w:val="FiguretitleChar"/>
    <w:rsid w:val="005D329E"/>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5D329E"/>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5D329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5D329E"/>
    <w:pPr>
      <w:keepNext/>
      <w:keepLines/>
      <w:spacing w:before="480"/>
      <w:jc w:val="center"/>
    </w:pPr>
    <w:rPr>
      <w:sz w:val="28"/>
    </w:rPr>
  </w:style>
  <w:style w:type="paragraph" w:customStyle="1" w:styleId="Arttitle">
    <w:name w:val="Art_title"/>
    <w:basedOn w:val="Normal"/>
    <w:next w:val="Normalaftertitle"/>
    <w:rsid w:val="005D329E"/>
    <w:pPr>
      <w:keepNext/>
      <w:keepLines/>
      <w:spacing w:before="240"/>
      <w:jc w:val="center"/>
    </w:pPr>
    <w:rPr>
      <w:b/>
      <w:sz w:val="28"/>
    </w:rPr>
  </w:style>
  <w:style w:type="paragraph" w:customStyle="1" w:styleId="Blanc">
    <w:name w:val="Blanc"/>
    <w:basedOn w:val="Normal"/>
    <w:next w:val="Tabletext"/>
    <w:rsid w:val="005D329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5D329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5D329E"/>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5D329E"/>
    <w:rPr>
      <w:b/>
    </w:rPr>
  </w:style>
  <w:style w:type="paragraph" w:customStyle="1" w:styleId="Chaptitle">
    <w:name w:val="Chap_title"/>
    <w:basedOn w:val="Arttitle"/>
    <w:next w:val="Normalaftertitle"/>
    <w:rsid w:val="005D329E"/>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5D329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5D329E"/>
    <w:pPr>
      <w:keepLines/>
      <w:tabs>
        <w:tab w:val="left" w:pos="255"/>
      </w:tabs>
      <w:ind w:left="255" w:hanging="255"/>
    </w:pPr>
    <w:rPr>
      <w:sz w:val="22"/>
    </w:rPr>
  </w:style>
  <w:style w:type="paragraph" w:styleId="Index1">
    <w:name w:val="index 1"/>
    <w:basedOn w:val="Normal"/>
    <w:next w:val="Normal"/>
    <w:semiHidden/>
    <w:rsid w:val="005D329E"/>
  </w:style>
  <w:style w:type="paragraph" w:styleId="Index2">
    <w:name w:val="index 2"/>
    <w:basedOn w:val="Normal"/>
    <w:next w:val="Normal"/>
    <w:semiHidden/>
    <w:rsid w:val="005D329E"/>
    <w:pPr>
      <w:ind w:left="283"/>
    </w:pPr>
  </w:style>
  <w:style w:type="paragraph" w:styleId="Index3">
    <w:name w:val="index 3"/>
    <w:basedOn w:val="Normal"/>
    <w:next w:val="Normal"/>
    <w:semiHidden/>
    <w:rsid w:val="005D329E"/>
    <w:pPr>
      <w:ind w:left="566"/>
    </w:pPr>
  </w:style>
  <w:style w:type="paragraph" w:styleId="IndexHeading">
    <w:name w:val="index heading"/>
    <w:basedOn w:val="Normal"/>
    <w:next w:val="Index1"/>
    <w:semiHidden/>
    <w:rsid w:val="005D329E"/>
  </w:style>
  <w:style w:type="paragraph" w:customStyle="1" w:styleId="Line">
    <w:name w:val="Line"/>
    <w:basedOn w:val="Normal"/>
    <w:next w:val="Normal"/>
    <w:rsid w:val="005D329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5D329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5D329E"/>
  </w:style>
  <w:style w:type="paragraph" w:customStyle="1" w:styleId="Partref">
    <w:name w:val="Part_ref"/>
    <w:basedOn w:val="Normal"/>
    <w:next w:val="Normal"/>
    <w:rsid w:val="005D329E"/>
    <w:pPr>
      <w:keepNext/>
      <w:keepLines/>
      <w:spacing w:after="280"/>
      <w:jc w:val="center"/>
    </w:pPr>
  </w:style>
  <w:style w:type="paragraph" w:customStyle="1" w:styleId="Parttitle">
    <w:name w:val="Part_title"/>
    <w:basedOn w:val="Normal"/>
    <w:next w:val="Normalaftertitle"/>
    <w:rsid w:val="005D329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5D329E"/>
  </w:style>
  <w:style w:type="paragraph" w:customStyle="1" w:styleId="QuestionNo">
    <w:name w:val="Question_No"/>
    <w:basedOn w:val="RecNo"/>
    <w:next w:val="Normal"/>
    <w:rsid w:val="005D329E"/>
  </w:style>
  <w:style w:type="paragraph" w:customStyle="1" w:styleId="Questionref">
    <w:name w:val="Question_ref"/>
    <w:basedOn w:val="Recref"/>
    <w:next w:val="Questiondate"/>
    <w:rsid w:val="005D329E"/>
  </w:style>
  <w:style w:type="paragraph" w:customStyle="1" w:styleId="Questiontitle">
    <w:name w:val="Question_title"/>
    <w:basedOn w:val="Normal"/>
    <w:next w:val="Questionref"/>
    <w:rsid w:val="005D329E"/>
  </w:style>
  <w:style w:type="paragraph" w:customStyle="1" w:styleId="Reftext">
    <w:name w:val="Ref_text"/>
    <w:basedOn w:val="Normal"/>
    <w:rsid w:val="005D329E"/>
    <w:pPr>
      <w:ind w:left="794" w:hanging="794"/>
    </w:pPr>
    <w:rPr>
      <w:sz w:val="22"/>
    </w:rPr>
  </w:style>
  <w:style w:type="paragraph" w:customStyle="1" w:styleId="Reftitle">
    <w:name w:val="Ref_title"/>
    <w:basedOn w:val="Normal"/>
    <w:next w:val="Reftext"/>
    <w:rsid w:val="005D329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5D329E"/>
  </w:style>
  <w:style w:type="paragraph" w:customStyle="1" w:styleId="RepNo">
    <w:name w:val="Rep_No"/>
    <w:basedOn w:val="RecNo"/>
    <w:next w:val="Reptitle"/>
    <w:rsid w:val="005D329E"/>
  </w:style>
  <w:style w:type="paragraph" w:customStyle="1" w:styleId="Reptitle">
    <w:name w:val="Rep_title"/>
    <w:basedOn w:val="Rectitle"/>
    <w:next w:val="Repref"/>
    <w:rsid w:val="005D329E"/>
  </w:style>
  <w:style w:type="paragraph" w:customStyle="1" w:styleId="Repref">
    <w:name w:val="Rep_ref"/>
    <w:basedOn w:val="Recref"/>
    <w:next w:val="Repdate"/>
    <w:rsid w:val="005D329E"/>
  </w:style>
  <w:style w:type="paragraph" w:customStyle="1" w:styleId="Resdate">
    <w:name w:val="Res_date"/>
    <w:basedOn w:val="Recdate"/>
    <w:next w:val="Normalaftertitle"/>
    <w:rsid w:val="005D329E"/>
  </w:style>
  <w:style w:type="paragraph" w:customStyle="1" w:styleId="ResNo">
    <w:name w:val="Res_No"/>
    <w:basedOn w:val="RecNo"/>
    <w:next w:val="Restitle"/>
    <w:rsid w:val="005D329E"/>
  </w:style>
  <w:style w:type="paragraph" w:customStyle="1" w:styleId="Restitle">
    <w:name w:val="Res_title"/>
    <w:basedOn w:val="Normal"/>
    <w:next w:val="Resref"/>
    <w:rsid w:val="005D329E"/>
    <w:pPr>
      <w:spacing w:before="240"/>
      <w:jc w:val="center"/>
    </w:pPr>
    <w:rPr>
      <w:b/>
      <w:sz w:val="28"/>
    </w:rPr>
  </w:style>
  <w:style w:type="paragraph" w:customStyle="1" w:styleId="Resref">
    <w:name w:val="Res_ref"/>
    <w:basedOn w:val="Recref"/>
    <w:next w:val="Resdate"/>
    <w:rsid w:val="005D329E"/>
  </w:style>
  <w:style w:type="paragraph" w:customStyle="1" w:styleId="SectionNo">
    <w:name w:val="Section_No"/>
    <w:basedOn w:val="Normal"/>
    <w:next w:val="Normal"/>
    <w:rsid w:val="005D329E"/>
  </w:style>
  <w:style w:type="paragraph" w:customStyle="1" w:styleId="Sectiontitle">
    <w:name w:val="Section_title"/>
    <w:basedOn w:val="Normal"/>
    <w:next w:val="Normalaftertitle"/>
    <w:rsid w:val="005D329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5D329E"/>
    <w:pPr>
      <w:tabs>
        <w:tab w:val="clear" w:pos="794"/>
        <w:tab w:val="clear" w:pos="1191"/>
        <w:tab w:val="clear" w:pos="1588"/>
        <w:tab w:val="clear" w:pos="1985"/>
        <w:tab w:val="right" w:pos="9611"/>
      </w:tabs>
    </w:pPr>
    <w:rPr>
      <w:i/>
    </w:rPr>
  </w:style>
  <w:style w:type="paragraph" w:styleId="TOC1">
    <w:name w:val="toc 1"/>
    <w:basedOn w:val="Normal"/>
    <w:semiHidden/>
    <w:rsid w:val="005D329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5D329E"/>
    <w:pPr>
      <w:tabs>
        <w:tab w:val="clear" w:pos="567"/>
        <w:tab w:val="left" w:pos="1276"/>
      </w:tabs>
      <w:spacing w:before="160"/>
      <w:ind w:left="1276" w:hanging="709"/>
    </w:pPr>
  </w:style>
  <w:style w:type="paragraph" w:styleId="TOC3">
    <w:name w:val="toc 3"/>
    <w:basedOn w:val="TOC2"/>
    <w:semiHidden/>
    <w:rsid w:val="005D329E"/>
    <w:pPr>
      <w:tabs>
        <w:tab w:val="clear" w:pos="1276"/>
        <w:tab w:val="left" w:pos="2155"/>
      </w:tabs>
      <w:ind w:left="2155" w:hanging="879"/>
    </w:pPr>
  </w:style>
  <w:style w:type="paragraph" w:styleId="TOC4">
    <w:name w:val="toc 4"/>
    <w:basedOn w:val="TOC3"/>
    <w:semiHidden/>
    <w:rsid w:val="005D329E"/>
    <w:pPr>
      <w:tabs>
        <w:tab w:val="left" w:pos="3261"/>
      </w:tabs>
      <w:spacing w:before="80"/>
      <w:ind w:left="3261" w:hanging="993"/>
    </w:pPr>
  </w:style>
  <w:style w:type="paragraph" w:styleId="TOC5">
    <w:name w:val="toc 5"/>
    <w:basedOn w:val="TOC4"/>
    <w:semiHidden/>
    <w:rsid w:val="005D329E"/>
  </w:style>
  <w:style w:type="paragraph" w:styleId="TOC6">
    <w:name w:val="toc 6"/>
    <w:basedOn w:val="TOC4"/>
    <w:semiHidden/>
    <w:rsid w:val="005D329E"/>
  </w:style>
  <w:style w:type="paragraph" w:styleId="TOC7">
    <w:name w:val="toc 7"/>
    <w:basedOn w:val="TOC4"/>
    <w:semiHidden/>
    <w:rsid w:val="005D329E"/>
  </w:style>
  <w:style w:type="paragraph" w:styleId="TOC8">
    <w:name w:val="toc 8"/>
    <w:basedOn w:val="TOC4"/>
    <w:semiHidden/>
    <w:rsid w:val="005D329E"/>
  </w:style>
  <w:style w:type="paragraph" w:customStyle="1" w:styleId="Annexref">
    <w:name w:val="Annex_ref"/>
    <w:basedOn w:val="Normal"/>
    <w:next w:val="Normalaftertitle"/>
    <w:rsid w:val="005D329E"/>
    <w:pPr>
      <w:keepNext/>
      <w:keepLines/>
      <w:spacing w:after="280"/>
      <w:jc w:val="center"/>
    </w:pPr>
  </w:style>
  <w:style w:type="paragraph" w:customStyle="1" w:styleId="Appendixref">
    <w:name w:val="Appendix_ref"/>
    <w:basedOn w:val="Annexref"/>
    <w:next w:val="Normalaftertitle"/>
    <w:rsid w:val="005D329E"/>
  </w:style>
  <w:style w:type="paragraph" w:customStyle="1" w:styleId="Tabletitle">
    <w:name w:val="Table_title"/>
    <w:basedOn w:val="Normal"/>
    <w:next w:val="Tablehead"/>
    <w:link w:val="Tabletitle0"/>
    <w:rsid w:val="005D329E"/>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link w:val="SummaryZchn"/>
    <w:autoRedefine/>
    <w:rsid w:val="00B33CA9"/>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5D329E"/>
    <w:pPr>
      <w:ind w:left="-85" w:firstLine="0"/>
    </w:pPr>
    <w:rPr>
      <w:lang w:val="en-US"/>
    </w:rPr>
  </w:style>
  <w:style w:type="paragraph" w:styleId="Footer">
    <w:name w:val="footer"/>
    <w:basedOn w:val="Normal"/>
    <w:link w:val="FooterChar"/>
    <w:rsid w:val="005D329E"/>
    <w:pPr>
      <w:tabs>
        <w:tab w:val="clear" w:pos="794"/>
        <w:tab w:val="clear" w:pos="1191"/>
        <w:tab w:val="clear" w:pos="1588"/>
        <w:tab w:val="clear" w:pos="1985"/>
      </w:tabs>
      <w:spacing w:before="0"/>
    </w:pPr>
    <w:rPr>
      <w:noProof/>
      <w:sz w:val="18"/>
    </w:rPr>
  </w:style>
  <w:style w:type="character" w:customStyle="1" w:styleId="FooterChar">
    <w:name w:val="Footer Char"/>
    <w:basedOn w:val="DefaultParagraphFont"/>
    <w:link w:val="Footer"/>
    <w:rsid w:val="007913D0"/>
    <w:rPr>
      <w:noProof/>
      <w:sz w:val="18"/>
      <w:lang w:val="fr-FR" w:eastAsia="en-US"/>
    </w:rPr>
  </w:style>
  <w:style w:type="paragraph" w:styleId="Header">
    <w:name w:val="header"/>
    <w:basedOn w:val="Normal"/>
    <w:link w:val="HeaderChar"/>
    <w:rsid w:val="005D329E"/>
    <w:pPr>
      <w:tabs>
        <w:tab w:val="clear" w:pos="794"/>
        <w:tab w:val="clear" w:pos="1191"/>
        <w:tab w:val="clear" w:pos="1588"/>
        <w:tab w:val="clear" w:pos="1985"/>
        <w:tab w:val="center" w:pos="4848"/>
        <w:tab w:val="right" w:pos="9696"/>
      </w:tabs>
      <w:spacing w:before="0"/>
      <w:jc w:val="center"/>
    </w:pPr>
  </w:style>
  <w:style w:type="character" w:customStyle="1" w:styleId="HeaderChar">
    <w:name w:val="Header Char"/>
    <w:basedOn w:val="DefaultParagraphFont"/>
    <w:link w:val="Header"/>
    <w:rsid w:val="007913D0"/>
    <w:rPr>
      <w:sz w:val="24"/>
      <w:lang w:val="fr-FR" w:eastAsia="en-US"/>
    </w:rPr>
  </w:style>
  <w:style w:type="character" w:customStyle="1" w:styleId="SummaryZchn">
    <w:name w:val="Summary Zchn"/>
    <w:basedOn w:val="DefaultParagraphFont"/>
    <w:link w:val="Summary"/>
    <w:rsid w:val="00B33CA9"/>
    <w:rPr>
      <w:sz w:val="22"/>
      <w:lang w:val="es-ES_tradnl" w:eastAsia="en-US"/>
    </w:rPr>
  </w:style>
  <w:style w:type="character" w:customStyle="1" w:styleId="Artref">
    <w:name w:val="Art_ref"/>
    <w:basedOn w:val="DefaultParagraphFont"/>
    <w:rsid w:val="003213A9"/>
  </w:style>
  <w:style w:type="paragraph" w:customStyle="1" w:styleId="AnnexNo">
    <w:name w:val="Annex_No"/>
    <w:basedOn w:val="Normal"/>
    <w:next w:val="Normal"/>
    <w:link w:val="AnnexNoChar"/>
    <w:qFormat/>
    <w:rsid w:val="003213A9"/>
    <w:pPr>
      <w:keepNext/>
      <w:keepLines/>
      <w:tabs>
        <w:tab w:val="clear" w:pos="794"/>
        <w:tab w:val="clear" w:pos="1191"/>
        <w:tab w:val="clear" w:pos="1588"/>
        <w:tab w:val="clear" w:pos="1985"/>
        <w:tab w:val="left" w:pos="1134"/>
        <w:tab w:val="left" w:pos="1871"/>
        <w:tab w:val="left" w:pos="2268"/>
      </w:tabs>
      <w:spacing w:before="480" w:after="80"/>
      <w:jc w:val="center"/>
    </w:pPr>
    <w:rPr>
      <w:rFonts w:eastAsia="MS Mincho"/>
      <w:caps/>
      <w:sz w:val="28"/>
      <w:lang w:val="en-GB"/>
    </w:rPr>
  </w:style>
  <w:style w:type="paragraph" w:customStyle="1" w:styleId="Annextitle">
    <w:name w:val="Annex_title"/>
    <w:basedOn w:val="Normal"/>
    <w:next w:val="Normal"/>
    <w:rsid w:val="003213A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MS Mincho" w:hAnsi="Times New Roman Bold"/>
      <w:b/>
      <w:sz w:val="28"/>
      <w:lang w:val="en-GB"/>
    </w:rPr>
  </w:style>
  <w:style w:type="paragraph" w:customStyle="1" w:styleId="Reasons">
    <w:name w:val="Reasons"/>
    <w:basedOn w:val="Normal"/>
    <w:qFormat/>
    <w:rsid w:val="003213A9"/>
    <w:pPr>
      <w:tabs>
        <w:tab w:val="clear" w:pos="794"/>
        <w:tab w:val="clear" w:pos="1191"/>
        <w:tab w:val="left" w:pos="1134"/>
      </w:tabs>
      <w:jc w:val="left"/>
    </w:pPr>
    <w:rPr>
      <w:rFonts w:eastAsia="MS Mincho"/>
      <w:lang w:val="en-GB"/>
    </w:rPr>
  </w:style>
  <w:style w:type="character" w:customStyle="1" w:styleId="enumlev1Char">
    <w:name w:val="enumlev1 Char"/>
    <w:basedOn w:val="DefaultParagraphFont"/>
    <w:link w:val="enumlev1"/>
    <w:rsid w:val="003213A9"/>
    <w:rPr>
      <w:sz w:val="24"/>
      <w:lang w:val="fr-FR" w:eastAsia="en-US"/>
    </w:rPr>
  </w:style>
  <w:style w:type="table" w:styleId="TableGrid">
    <w:name w:val="Table Grid"/>
    <w:basedOn w:val="TableNormal"/>
    <w:rsid w:val="003213A9"/>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nexNoChar">
    <w:name w:val="Annex_No Char"/>
    <w:link w:val="AnnexNo"/>
    <w:qFormat/>
    <w:locked/>
    <w:rsid w:val="003213A9"/>
    <w:rPr>
      <w:rFonts w:eastAsia="MS Mincho"/>
      <w:caps/>
      <w:sz w:val="28"/>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FE1372"/>
    <w:rPr>
      <w:sz w:val="22"/>
      <w:lang w:val="fr-FR" w:eastAsia="en-US"/>
    </w:rPr>
  </w:style>
  <w:style w:type="paragraph" w:customStyle="1" w:styleId="Normalaftertitle0">
    <w:name w:val="Normal after title"/>
    <w:basedOn w:val="Normal"/>
    <w:next w:val="Normal"/>
    <w:rsid w:val="004D0F37"/>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Section1">
    <w:name w:val="Section_1"/>
    <w:basedOn w:val="Normal"/>
    <w:rsid w:val="004765E1"/>
    <w:pPr>
      <w:keepNext/>
      <w:keepLines/>
      <w:tabs>
        <w:tab w:val="clear" w:pos="794"/>
        <w:tab w:val="clear" w:pos="1191"/>
        <w:tab w:val="clear" w:pos="1588"/>
        <w:tab w:val="clear" w:pos="1985"/>
        <w:tab w:val="center" w:pos="4820"/>
      </w:tabs>
      <w:spacing w:before="360"/>
      <w:jc w:val="center"/>
      <w:outlineLvl w:val="0"/>
    </w:pPr>
    <w:rPr>
      <w:b/>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64BEC-C846-49A0-9EC1-5A188E6A8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75</TotalTime>
  <Pages>3</Pages>
  <Words>940</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RECOMMENDATION  ITU-R  M.2134-0 - Receiver characteristics and protection criteria for systems  in the mobile service in the frequency range 27.5-29.5 GHz for  use in sharing and compatibility studies</vt:lpstr>
    </vt:vector>
  </TitlesOfParts>
  <Manager/>
  <Company>ITU</Company>
  <LinksUpToDate>false</LinksUpToDate>
  <CharactersWithSpaces>6321</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M.2134-0 - Receiver characteristics and protection criteria for systems  in the mobile service in the frequency range 27.5-29.5 GHz for  use in sharing and compatibility studies</dc:title>
  <dc:subject>M Series = Mobile, radiodetermination, amateur and related satellite services</dc:subject>
  <dc:creator>ITU Radiocommunication Bureau (BR)</dc:creator>
  <cp:keywords>M,2134-0</cp:keywords>
  <dc:description>Gachetc, 29/10/2019, ITU51013811</dc:description>
  <cp:lastModifiedBy>Al-Yammouni, Hala</cp:lastModifiedBy>
  <cp:revision>55</cp:revision>
  <cp:lastPrinted>2020-04-08T14:39:00Z</cp:lastPrinted>
  <dcterms:created xsi:type="dcterms:W3CDTF">2019-01-29T12:40:00Z</dcterms:created>
  <dcterms:modified xsi:type="dcterms:W3CDTF">2020-04-08T14:41:00Z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Gachetc</vt:lpwstr>
  </property>
  <property fmtid="{D5CDD505-2E9C-101B-9397-08002B2CF9AE}" pid="11" name="Date completed">
    <vt:lpwstr>29 October 2019</vt:lpwstr>
  </property>
</Properties>
</file>